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left"/>
      </w:pPr>
      <w:r>
        <w:rPr>
          <w:rFonts w:ascii="Calibri" w:hAnsi="Calibri"/>
          <w:b/>
          <w:i w:val="0"/>
          <w:color w:val="0B2E5C"/>
          <w:sz w:val="52"/>
          <w:u w:val="none"/>
        </w:rPr>
        <w:t>The Walk-Away Filter: The Red-Flag Checklist Our Analysts Run on Every Deal</w:t>
      </w:r>
    </w:p>
    <w:p>
      <w:pPr>
        <w:keepNext/>
        <w:spacing w:before="280" w:after="80"/>
      </w:pPr>
      <w:r>
        <w:rPr>
          <w:rFonts w:ascii="Calibri" w:hAnsi="Calibri"/>
          <w:b/>
          <w:i w:val="0"/>
          <w:color w:val="0B2E5C"/>
          <w:sz w:val="36"/>
          <w:u w:val="none"/>
        </w:rPr>
        <w:t>Why We Created This</w:t>
      </w:r>
    </w:p>
    <w:p>
      <w:pPr>
        <w:spacing w:after="120"/>
      </w:pPr>
      <w:r>
        <w:rPr>
          <w:rFonts w:ascii="Calibri" w:hAnsi="Calibri"/>
          <w:b w:val="0"/>
          <w:i w:val="0"/>
          <w:sz w:val="22"/>
          <w:u w:val="none"/>
        </w:rPr>
        <w:t>We do this for you. That is what the Regalis Capital team is built for. 40 dedicated analysts review 120 to 150 deals every week. We send offers on 294 a year. That is a 0.17% pass rate from sourcing to offer. We kill 97 to 98 percent of everything we look at.</w:t>
      </w:r>
    </w:p>
    <w:p>
      <w:pPr>
        <w:spacing w:after="120"/>
      </w:pPr>
      <w:r>
        <w:rPr>
          <w:rFonts w:ascii="Calibri" w:hAnsi="Calibri"/>
          <w:b w:val="0"/>
          <w:i w:val="0"/>
          <w:sz w:val="22"/>
          <w:u w:val="none"/>
        </w:rPr>
        <w:t>But we want you to understand what we are checking and why, so you can read a listing the way we read a listing, and so you can stand behind every yes and every no with the same logic our team uses internally.</w:t>
      </w:r>
    </w:p>
    <w:p>
      <w:pPr>
        <w:spacing w:after="120"/>
      </w:pPr>
      <w:r>
        <w:rPr>
          <w:rFonts w:ascii="Calibri" w:hAnsi="Calibri"/>
          <w:b w:val="0"/>
          <w:i w:val="0"/>
          <w:sz w:val="22"/>
          <w:u w:val="none"/>
        </w:rPr>
        <w:t>This is the actual checklist. The same one our M&amp;A Associates run at the listing stage, the same financial filters our Valuation team applies before a deal gets to LOI, and the same DD red flags our Deal Execution team runs after a Letter of Intent is signed.</w:t>
      </w:r>
    </w:p>
    <w:p>
      <w:pPr>
        <w:spacing w:after="120"/>
      </w:pPr>
      <w:r>
        <w:rPr>
          <w:rFonts w:ascii="Calibri" w:hAnsi="Calibri"/>
          <w:b w:val="0"/>
          <w:i w:val="0"/>
          <w:sz w:val="22"/>
          <w:u w:val="none"/>
        </w:rPr>
        <w:t>Our approach is simple: spend no money until the deal earns it. We break due diligence into two phases, each one acting as a filter. Most deals die in the Internal phase before you ever write a single check. That is by design.</w:t>
      </w:r>
    </w:p>
    <w:p>
      <w:pPr>
        <w:spacing w:after="120"/>
      </w:pPr>
      <w:r>
        <w:rPr>
          <w:rFonts w:ascii="Calibri" w:hAnsi="Calibri"/>
          <w:b w:val="0"/>
          <w:i w:val="0"/>
          <w:sz w:val="22"/>
          <w:u w:val="none"/>
        </w:rPr>
        <w:t>Here is exactly what we look for at each phase, why it matters, and what should make you walk away.</w:t>
      </w:r>
    </w:p>
    <w:p>
      <w:pPr>
        <w:pBdr>
          <w:bottom w:val="single" w:sz="6" w:space="1" w:color="C8C8C8"/>
        </w:pBdr>
        <w:spacing w:before="120" w:after="200"/>
      </w:pPr>
    </w:p>
    <w:p>
      <w:pPr>
        <w:keepNext/>
        <w:spacing w:before="280" w:after="80"/>
      </w:pPr>
      <w:r>
        <w:rPr>
          <w:rFonts w:ascii="Calibri" w:hAnsi="Calibri"/>
          <w:b/>
          <w:i w:val="0"/>
          <w:color w:val="0B2E5C"/>
          <w:sz w:val="36"/>
          <w:u w:val="none"/>
        </w:rPr>
        <w:t>Phase 1: Internal Due Diligence (Before Spending Money)</w:t>
      </w:r>
    </w:p>
    <w:p>
      <w:pPr>
        <w:spacing w:after="120"/>
      </w:pPr>
      <w:r>
        <w:rPr>
          <w:rFonts w:ascii="Calibri" w:hAnsi="Calibri"/>
          <w:b w:val="0"/>
          <w:i w:val="0"/>
          <w:sz w:val="22"/>
          <w:u w:val="none"/>
        </w:rPr>
        <w:t>This is the phase where we review the deal on paper, talk to the seller, walk the operation, and pressure-test it from every angle. Tax returns, P&amp;Ls, bank statements, seller calls, site visits, employee conversations, customer and vendor analysis. No outside professionals. No costs to you. Most deals die right here, and that is a good thing.</w:t>
      </w:r>
    </w:p>
    <w:p>
      <w:pPr>
        <w:spacing w:after="120"/>
      </w:pPr>
      <w:r>
        <w:rPr>
          <w:rFonts w:ascii="Calibri" w:hAnsi="Calibri"/>
          <w:b w:val="0"/>
          <w:i w:val="0"/>
          <w:sz w:val="22"/>
          <w:u w:val="none"/>
        </w:rPr>
        <w:t>The Internal phase has two layers. First, the listing-stage screening filters that decide whether the deal even deserves a closer look. Second, the deeper Internal DD that runs after the listing screen passes and before any external money gets spent.</w:t>
      </w:r>
    </w:p>
    <w:p>
      <w:pPr>
        <w:pBdr>
          <w:bottom w:val="single" w:sz="6" w:space="1" w:color="C8C8C8"/>
        </w:pBdr>
        <w:spacing w:before="120" w:after="200"/>
      </w:pPr>
    </w:p>
    <w:p>
      <w:pPr>
        <w:keepNext/>
        <w:spacing w:before="200" w:after="80"/>
      </w:pPr>
      <w:r>
        <w:rPr>
          <w:rFonts w:ascii="Calibri" w:hAnsi="Calibri"/>
          <w:b/>
          <w:i w:val="0"/>
          <w:color w:val="0B2E5C"/>
          <w:sz w:val="28"/>
          <w:u w:val="none"/>
        </w:rPr>
        <w:t>Listing-Stage Screening (The First Filter)</w:t>
      </w:r>
    </w:p>
    <w:p>
      <w:pPr>
        <w:spacing w:after="120"/>
      </w:pPr>
      <w:r>
        <w:rPr>
          <w:rFonts w:ascii="Calibri" w:hAnsi="Calibri"/>
          <w:b w:val="0"/>
          <w:i w:val="0"/>
          <w:sz w:val="22"/>
          <w:u w:val="none"/>
        </w:rPr>
        <w:t>These are the checks we run before a deal ever advances to seller calls or financial review. If any of these fail, the deal is dead at the listing page. No exceptions.</w:t>
      </w:r>
    </w:p>
    <w:p>
      <w:pPr>
        <w:spacing w:after="120"/>
      </w:pPr>
      <w:r>
        <w:rPr>
          <w:rFonts w:ascii="Calibri" w:hAnsi="Calibri"/>
          <w:b/>
          <w:i w:val="0"/>
          <w:sz w:val="22"/>
          <w:u w:val="none"/>
        </w:rPr>
        <w:t>The Double the Number Rule (Cash Flow vs. Target)</w:t>
      </w:r>
    </w:p>
    <w:p>
      <w:pPr>
        <w:pStyle w:val="ListBullet"/>
        <w:spacing w:after="60"/>
        <w:ind w:left="432"/>
      </w:pPr>
      <w:r>
        <w:rPr>
          <w:rFonts w:ascii="Calibri" w:hAnsi="Calibri"/>
          <w:b/>
          <w:i w:val="0"/>
          <w:sz w:val="22"/>
        </w:rPr>
        <w:t>What it is:</w:t>
      </w:r>
      <w:r>
        <w:rPr>
          <w:rFonts w:ascii="Calibri" w:hAnsi="Calibri"/>
          <w:b w:val="0"/>
          <w:i w:val="0"/>
          <w:sz w:val="22"/>
        </w:rPr>
        <w:t xml:space="preserve"> Your target take-home cash flow is the number you want to live on after loan payments. The listing's stated SDE has to be at least double that number to be worth looking at.</w:t>
      </w:r>
    </w:p>
    <w:p>
      <w:pPr>
        <w:pStyle w:val="ListBullet"/>
        <w:spacing w:after="60"/>
        <w:ind w:left="432"/>
      </w:pPr>
      <w:r>
        <w:rPr>
          <w:rFonts w:ascii="Calibri" w:hAnsi="Calibri"/>
          <w:b/>
          <w:i w:val="0"/>
          <w:sz w:val="22"/>
        </w:rPr>
        <w:t>Why it matters:</w:t>
      </w:r>
      <w:r>
        <w:rPr>
          <w:rFonts w:ascii="Calibri" w:hAnsi="Calibri"/>
          <w:b w:val="0"/>
          <w:i w:val="0"/>
          <w:sz w:val="22"/>
        </w:rPr>
        <w:t xml:space="preserve"> SDE is a marketing number. Loan payments, taxes, owner replacement costs, and inflated addbacks will eat roughly half of it. If the listing barely meets your target, the math will not survive contact with reality.</w:t>
      </w:r>
    </w:p>
    <w:p>
      <w:pPr>
        <w:pStyle w:val="ListBullet"/>
        <w:spacing w:after="60"/>
        <w:ind w:left="432"/>
      </w:pPr>
      <w:r>
        <w:rPr>
          <w:rFonts w:ascii="Calibri" w:hAnsi="Calibri"/>
          <w:b/>
          <w:i w:val="0"/>
          <w:sz w:val="22"/>
        </w:rPr>
        <w:t>Severity:</w:t>
      </w:r>
      <w:r>
        <w:rPr>
          <w:rFonts w:ascii="Calibri" w:hAnsi="Calibri"/>
          <w:b w:val="0"/>
          <w:i w:val="0"/>
          <w:sz w:val="22"/>
        </w:rPr>
        <w:t xml:space="preserve"> Walk-away. If listed SDE is below 2x the target, do not advance.</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Every M&amp;A Associate runs this rule on every listing before a deal is even logged. If the partner targets $250K take-home, the listing needs $500K+ in stated SDE. If it shows $260K against a $250K target, it is a zero-chance deal and we move on the same minute we see it.</w:t>
      </w:r>
    </w:p>
    <w:p>
      <w:pPr>
        <w:spacing w:after="120"/>
      </w:pPr>
      <w:r>
        <w:rPr>
          <w:rFonts w:ascii="Calibri" w:hAnsi="Calibri"/>
          <w:b/>
          <w:i w:val="0"/>
          <w:sz w:val="22"/>
          <w:u w:val="none"/>
        </w:rPr>
        <w:t>Standout Year (One Good Year Surrounded by Bad Years)</w:t>
      </w:r>
    </w:p>
    <w:p>
      <w:pPr>
        <w:pStyle w:val="ListBullet"/>
        <w:spacing w:after="60"/>
        <w:ind w:left="432"/>
      </w:pPr>
      <w:r>
        <w:rPr>
          <w:rFonts w:ascii="Calibri" w:hAnsi="Calibri"/>
          <w:b/>
          <w:i w:val="0"/>
          <w:sz w:val="22"/>
        </w:rPr>
        <w:t>What it is:</w:t>
      </w:r>
      <w:r>
        <w:rPr>
          <w:rFonts w:ascii="Calibri" w:hAnsi="Calibri"/>
          <w:b w:val="0"/>
          <w:i w:val="0"/>
          <w:sz w:val="22"/>
        </w:rPr>
        <w:t xml:space="preserve"> Three years of financials where one year looks great and the other two look weak or negative. Sellers list during the standout year because that is when the multiple looks defensible.</w:t>
      </w:r>
    </w:p>
    <w:p>
      <w:pPr>
        <w:pStyle w:val="ListBullet"/>
        <w:spacing w:after="60"/>
        <w:ind w:left="432"/>
      </w:pPr>
      <w:r>
        <w:rPr>
          <w:rFonts w:ascii="Calibri" w:hAnsi="Calibri"/>
          <w:b/>
          <w:i w:val="0"/>
          <w:sz w:val="22"/>
        </w:rPr>
        <w:t>Why it matters:</w:t>
      </w:r>
      <w:r>
        <w:rPr>
          <w:rFonts w:ascii="Calibri" w:hAnsi="Calibri"/>
          <w:b w:val="0"/>
          <w:i w:val="0"/>
          <w:sz w:val="22"/>
        </w:rPr>
        <w:t xml:space="preserve"> You are buying the trajectory, not the snapshot. A standout year reverts the moment you take over. Lenders also discount it heavily because they look at the average across three years, not the peak.</w:t>
      </w:r>
    </w:p>
    <w:p>
      <w:pPr>
        <w:pStyle w:val="ListBullet"/>
        <w:spacing w:after="60"/>
        <w:ind w:left="432"/>
      </w:pPr>
      <w:r>
        <w:rPr>
          <w:rFonts w:ascii="Calibri" w:hAnsi="Calibri"/>
          <w:b/>
          <w:i w:val="0"/>
          <w:sz w:val="22"/>
        </w:rPr>
        <w:t>Severity:</w:t>
      </w:r>
      <w:r>
        <w:rPr>
          <w:rFonts w:ascii="Calibri" w:hAnsi="Calibri"/>
          <w:b w:val="0"/>
          <w:i w:val="0"/>
          <w:sz w:val="22"/>
        </w:rPr>
        <w:t xml:space="preserve"> Red flag. Walk-away if combined with negative prior years.</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require 3-year financials on every deal. If only the most recent year supports the price, we either reprice the deal against the prior 2-year average or we walk.</w:t>
      </w:r>
    </w:p>
    <w:p>
      <w:pPr>
        <w:spacing w:after="120"/>
      </w:pPr>
      <w:r>
        <w:rPr>
          <w:rFonts w:ascii="Calibri" w:hAnsi="Calibri"/>
          <w:b/>
          <w:i w:val="0"/>
          <w:sz w:val="22"/>
          <w:u w:val="none"/>
        </w:rPr>
        <w:t>Negative Current-Year Cash Flow</w:t>
      </w:r>
    </w:p>
    <w:p>
      <w:pPr>
        <w:pStyle w:val="ListBullet"/>
        <w:spacing w:after="60"/>
        <w:ind w:left="432"/>
      </w:pPr>
      <w:r>
        <w:rPr>
          <w:rFonts w:ascii="Calibri" w:hAnsi="Calibri"/>
          <w:b/>
          <w:i w:val="0"/>
          <w:sz w:val="22"/>
        </w:rPr>
        <w:t>What it is:</w:t>
      </w:r>
      <w:r>
        <w:rPr>
          <w:rFonts w:ascii="Calibri" w:hAnsi="Calibri"/>
          <w:b w:val="0"/>
          <w:i w:val="0"/>
          <w:sz w:val="22"/>
        </w:rPr>
        <w:t xml:space="preserve"> The business is losing money in the current year, regardless of what prior years look like.</w:t>
      </w:r>
    </w:p>
    <w:p>
      <w:pPr>
        <w:pStyle w:val="ListBullet"/>
        <w:spacing w:after="60"/>
        <w:ind w:left="432"/>
      </w:pPr>
      <w:r>
        <w:rPr>
          <w:rFonts w:ascii="Calibri" w:hAnsi="Calibri"/>
          <w:b/>
          <w:i w:val="0"/>
          <w:sz w:val="22"/>
        </w:rPr>
        <w:t>Why it matters:</w:t>
      </w:r>
      <w:r>
        <w:rPr>
          <w:rFonts w:ascii="Calibri" w:hAnsi="Calibri"/>
          <w:b w:val="0"/>
          <w:i w:val="0"/>
          <w:sz w:val="22"/>
        </w:rPr>
        <w:t xml:space="preserve"> The SBA will not approve a deal where the most recent year cannot cover debt service. Negative current-year cash flow is a hard kill at the lender stage. We have seen partners get attached to deals that pass the 2x SDE screen but show negative current-year EBITDA after debt service. That is a dead deal. Do not counter, do not negotiate.</w:t>
      </w:r>
    </w:p>
    <w:p>
      <w:pPr>
        <w:pStyle w:val="ListBullet"/>
        <w:spacing w:after="60"/>
        <w:ind w:left="432"/>
      </w:pPr>
      <w:r>
        <w:rPr>
          <w:rFonts w:ascii="Calibri" w:hAnsi="Calibri"/>
          <w:b/>
          <w:i w:val="0"/>
          <w:sz w:val="22"/>
        </w:rPr>
        <w:t>Severity:</w:t>
      </w:r>
      <w:r>
        <w:rPr>
          <w:rFonts w:ascii="Calibri" w:hAnsi="Calibri"/>
          <w:b w:val="0"/>
          <w:i w:val="0"/>
          <w:sz w:val="22"/>
        </w:rPr>
        <w:t xml:space="preserve"> Walk-away.</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pull the most recent year and stress-test it against the loan structure before spending any time on a seller call. If the current year is negative, the deal is dead the same day.</w:t>
      </w:r>
    </w:p>
    <w:p>
      <w:pPr>
        <w:spacing w:after="120"/>
      </w:pPr>
      <w:r>
        <w:rPr>
          <w:rFonts w:ascii="Calibri" w:hAnsi="Calibri"/>
          <w:b/>
          <w:i w:val="0"/>
          <w:sz w:val="22"/>
          <w:u w:val="none"/>
        </w:rPr>
        <w:t>Multiple Above 5x</w:t>
      </w:r>
    </w:p>
    <w:p>
      <w:pPr>
        <w:pStyle w:val="ListBullet"/>
        <w:spacing w:after="60"/>
        <w:ind w:left="432"/>
      </w:pPr>
      <w:r>
        <w:rPr>
          <w:rFonts w:ascii="Calibri" w:hAnsi="Calibri"/>
          <w:b/>
          <w:i w:val="0"/>
          <w:sz w:val="22"/>
        </w:rPr>
        <w:t>What it is:</w:t>
      </w:r>
      <w:r>
        <w:rPr>
          <w:rFonts w:ascii="Calibri" w:hAnsi="Calibri"/>
          <w:b w:val="0"/>
          <w:i w:val="0"/>
          <w:sz w:val="22"/>
        </w:rPr>
        <w:t xml:space="preserve"> The asking price divided by EBITDA. A business earning $200K EBITDA listed at $1M is at a 5x multiple. Anything over 5x is structurally unworkable for a standard SBA buyer.</w:t>
      </w:r>
    </w:p>
    <w:p>
      <w:pPr>
        <w:pStyle w:val="ListBullet"/>
        <w:spacing w:after="60"/>
        <w:ind w:left="432"/>
      </w:pPr>
      <w:r>
        <w:rPr>
          <w:rFonts w:ascii="Calibri" w:hAnsi="Calibri"/>
          <w:b/>
          <w:i w:val="0"/>
          <w:sz w:val="22"/>
        </w:rPr>
        <w:t>Why it matters:</w:t>
      </w:r>
      <w:r>
        <w:rPr>
          <w:rFonts w:ascii="Calibri" w:hAnsi="Calibri"/>
          <w:b w:val="0"/>
          <w:i w:val="0"/>
          <w:sz w:val="22"/>
        </w:rPr>
        <w:t xml:space="preserve"> SBA tops out around a 4.4x workable multiple. Conventional financing tops out lower, around 3.6x. The 4.4x to 5x band requires a heavier seller note, a larger equity injection, or a conventional/SBA blend to make the structure work. Above 5x flat out does not pencil.</w:t>
      </w:r>
    </w:p>
    <w:p>
      <w:pPr>
        <w:pStyle w:val="ListBullet"/>
        <w:spacing w:after="60"/>
        <w:ind w:left="432"/>
      </w:pPr>
      <w:r>
        <w:rPr>
          <w:rFonts w:ascii="Calibri" w:hAnsi="Calibri"/>
          <w:b/>
          <w:i w:val="0"/>
          <w:sz w:val="22"/>
        </w:rPr>
        <w:t>Severity:</w:t>
      </w:r>
      <w:r>
        <w:rPr>
          <w:rFonts w:ascii="Calibri" w:hAnsi="Calibri"/>
          <w:b w:val="0"/>
          <w:i w:val="0"/>
          <w:sz w:val="22"/>
        </w:rPr>
        <w:t xml:space="preserve"> Red flag at 4.4x to 5x. Walk-away above 5x.</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Sweet spot is 3-5x on EBITDA. Below 3x is great. 3-5x is workable. The exception: passive or absentee businesses (laundromats, ATM routes, vending) where the owner does not need to draw a salary can sometimes justify higher multiples. That is a deal-lead call, not a default.</w:t>
      </w:r>
    </w:p>
    <w:p>
      <w:pPr>
        <w:spacing w:after="120"/>
      </w:pPr>
      <w:r>
        <w:rPr>
          <w:rFonts w:ascii="Calibri" w:hAnsi="Calibri"/>
          <w:b/>
          <w:i w:val="0"/>
          <w:sz w:val="22"/>
          <w:u w:val="none"/>
        </w:rPr>
        <w:t>Industry Exclusions</w:t>
      </w:r>
    </w:p>
    <w:p>
      <w:pPr>
        <w:pStyle w:val="ListBullet"/>
        <w:spacing w:after="60"/>
        <w:ind w:left="432"/>
      </w:pPr>
      <w:r>
        <w:rPr>
          <w:rFonts w:ascii="Calibri" w:hAnsi="Calibri"/>
          <w:b/>
          <w:i w:val="0"/>
          <w:sz w:val="22"/>
        </w:rPr>
        <w:t>What it is:</w:t>
      </w:r>
      <w:r>
        <w:rPr>
          <w:rFonts w:ascii="Calibri" w:hAnsi="Calibri"/>
          <w:b w:val="0"/>
          <w:i w:val="0"/>
          <w:sz w:val="22"/>
        </w:rPr>
        <w:t xml:space="preserve"> Industries we do not source for our partners regardless of preference, because they fail SBA, fail underwriting, or fail the operational sanity check.</w:t>
      </w:r>
    </w:p>
    <w:p>
      <w:pPr>
        <w:pStyle w:val="ListBullet"/>
        <w:spacing w:after="60"/>
        <w:ind w:left="432"/>
      </w:pPr>
      <w:r>
        <w:rPr>
          <w:rFonts w:ascii="Calibri" w:hAnsi="Calibri"/>
          <w:b/>
          <w:i w:val="0"/>
          <w:sz w:val="22"/>
        </w:rPr>
        <w:t>Why it matters:</w:t>
      </w:r>
      <w:r>
        <w:rPr>
          <w:rFonts w:ascii="Calibri" w:hAnsi="Calibri"/>
          <w:b w:val="0"/>
          <w:i w:val="0"/>
          <w:sz w:val="22"/>
        </w:rPr>
        <w:t xml:space="preserve"> These industries either get rejected by lenders, require professional licenses we cannot transfer, or have margin profiles that do not survive debt service.</w:t>
      </w:r>
    </w:p>
    <w:p>
      <w:pPr>
        <w:pStyle w:val="ListBullet"/>
        <w:spacing w:after="60"/>
        <w:ind w:left="432"/>
      </w:pPr>
      <w:r>
        <w:rPr>
          <w:rFonts w:ascii="Calibri" w:hAnsi="Calibri"/>
          <w:b/>
          <w:i w:val="0"/>
          <w:sz w:val="22"/>
        </w:rPr>
        <w:t>Severity:</w:t>
      </w:r>
      <w:r>
        <w:rPr>
          <w:rFonts w:ascii="Calibri" w:hAnsi="Calibri"/>
          <w:b w:val="0"/>
          <w:i w:val="0"/>
          <w:sz w:val="22"/>
        </w:rPr>
        <w:t xml:space="preserve"> Walk-away unless the partner has specifically overridden the exclusion in writing.</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Mandatory exclusions on every deal screen: restaurants and bars, retail (clothing, similar), insurance, accounting, gas stations, eCommerce (unless specifically requested), anything not based in the USA as a corporation, SBA prohibited industries (cannabis, gambling, adult entertainment, firearms manufacturing, MLM), and businesses requiring a professional license to own (medical, dental, legal, vet practices). Hospitality is on the same list.</w:t>
      </w:r>
    </w:p>
    <w:p>
      <w:pPr>
        <w:spacing w:after="120"/>
      </w:pPr>
      <w:r>
        <w:rPr>
          <w:rFonts w:ascii="Calibri" w:hAnsi="Calibri"/>
          <w:b/>
          <w:i w:val="0"/>
          <w:sz w:val="22"/>
          <w:u w:val="none"/>
        </w:rPr>
        <w:t>Location Mismatch (Relocatable Is Not Remote)</w:t>
      </w:r>
    </w:p>
    <w:p>
      <w:pPr>
        <w:pStyle w:val="ListBullet"/>
        <w:spacing w:after="60"/>
        <w:ind w:left="432"/>
      </w:pPr>
      <w:r>
        <w:rPr>
          <w:rFonts w:ascii="Calibri" w:hAnsi="Calibri"/>
          <w:b/>
          <w:i w:val="0"/>
          <w:sz w:val="22"/>
        </w:rPr>
        <w:t>What it is:</w:t>
      </w:r>
      <w:r>
        <w:rPr>
          <w:rFonts w:ascii="Calibri" w:hAnsi="Calibri"/>
          <w:b w:val="0"/>
          <w:i w:val="0"/>
          <w:sz w:val="22"/>
        </w:rPr>
        <w:t xml:space="preserve"> A listing that says "relocatable" but actually has a physical location, a local service area, or requires an owner on-site.</w:t>
      </w:r>
    </w:p>
    <w:p>
      <w:pPr>
        <w:pStyle w:val="ListBullet"/>
        <w:spacing w:after="60"/>
        <w:ind w:left="432"/>
      </w:pPr>
      <w:r>
        <w:rPr>
          <w:rFonts w:ascii="Calibri" w:hAnsi="Calibri"/>
          <w:b/>
          <w:i w:val="0"/>
          <w:sz w:val="22"/>
        </w:rPr>
        <w:t>Why it matters:</w:t>
      </w:r>
      <w:r>
        <w:rPr>
          <w:rFonts w:ascii="Calibri" w:hAnsi="Calibri"/>
          <w:b w:val="0"/>
          <w:i w:val="0"/>
          <w:sz w:val="22"/>
        </w:rPr>
        <w:t xml:space="preserve"> SBA requires local ownership for any business with a physical operation. A roofing company in Missouri that says "relocatable" still cannot be owned remotely. The buyer needs to live within driving distance, and the bank will confirm that before funding.</w:t>
      </w:r>
    </w:p>
    <w:p>
      <w:pPr>
        <w:pStyle w:val="ListBullet"/>
        <w:spacing w:after="60"/>
        <w:ind w:left="432"/>
      </w:pPr>
      <w:r>
        <w:rPr>
          <w:rFonts w:ascii="Calibri" w:hAnsi="Calibri"/>
          <w:b/>
          <w:i w:val="0"/>
          <w:sz w:val="22"/>
        </w:rPr>
        <w:t>Severity:</w:t>
      </w:r>
      <w:r>
        <w:rPr>
          <w:rFonts w:ascii="Calibri" w:hAnsi="Calibri"/>
          <w:b w:val="0"/>
          <w:i w:val="0"/>
          <w:sz w:val="22"/>
        </w:rPr>
        <w:t xml:space="preserve"> Walk-away if the buyer cannot physically operate the business from their location.</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Remote means no physical operation AND no geographic limitation on where services are delivered. If there is a warehouse, a service area, or a local employee base, the buyer must be local. We confirm driving distance on Google Maps before advancing any deal.</w:t>
      </w:r>
    </w:p>
    <w:p>
      <w:pPr>
        <w:spacing w:after="120"/>
      </w:pPr>
      <w:r>
        <w:rPr>
          <w:rFonts w:ascii="Calibri" w:hAnsi="Calibri"/>
          <w:b/>
          <w:i w:val="0"/>
          <w:sz w:val="22"/>
          <w:u w:val="none"/>
        </w:rPr>
        <w:t>Deal Size Outside Pre-Qual Range</w:t>
      </w:r>
    </w:p>
    <w:p>
      <w:pPr>
        <w:pStyle w:val="ListBullet"/>
        <w:spacing w:after="60"/>
        <w:ind w:left="432"/>
      </w:pPr>
      <w:r>
        <w:rPr>
          <w:rFonts w:ascii="Calibri" w:hAnsi="Calibri"/>
          <w:b/>
          <w:i w:val="0"/>
          <w:sz w:val="22"/>
        </w:rPr>
        <w:t>What it is:</w:t>
      </w:r>
      <w:r>
        <w:rPr>
          <w:rFonts w:ascii="Calibri" w:hAnsi="Calibri"/>
          <w:b w:val="0"/>
          <w:i w:val="0"/>
          <w:sz w:val="22"/>
        </w:rPr>
        <w:t xml:space="preserve"> The asking price exceeds the partner's SBA pre-qualification by more than 20%, or falls below the workable SBA size floor.</w:t>
      </w:r>
    </w:p>
    <w:p>
      <w:pPr>
        <w:pStyle w:val="ListBullet"/>
        <w:spacing w:after="60"/>
        <w:ind w:left="432"/>
      </w:pPr>
      <w:r>
        <w:rPr>
          <w:rFonts w:ascii="Calibri" w:hAnsi="Calibri"/>
          <w:b/>
          <w:i w:val="0"/>
          <w:sz w:val="22"/>
        </w:rPr>
        <w:t>Why it matters:</w:t>
      </w:r>
      <w:r>
        <w:rPr>
          <w:rFonts w:ascii="Calibri" w:hAnsi="Calibri"/>
          <w:b w:val="0"/>
          <w:i w:val="0"/>
          <w:sz w:val="22"/>
        </w:rPr>
        <w:t xml:space="preserve"> Lenders will not finance above the pre-qual + 20% buffer. They also will not write SBA loans below roughly $150K-$200K in SDE because the loan size cannot support the cost of underwriting.</w:t>
      </w:r>
    </w:p>
    <w:p>
      <w:pPr>
        <w:pStyle w:val="ListBullet"/>
        <w:spacing w:after="60"/>
        <w:ind w:left="432"/>
      </w:pPr>
      <w:r>
        <w:rPr>
          <w:rFonts w:ascii="Calibri" w:hAnsi="Calibri"/>
          <w:b/>
          <w:i w:val="0"/>
          <w:sz w:val="22"/>
        </w:rPr>
        <w:t>Severity:</w:t>
      </w:r>
      <w:r>
        <w:rPr>
          <w:rFonts w:ascii="Calibri" w:hAnsi="Calibri"/>
          <w:b w:val="0"/>
          <w:i w:val="0"/>
          <w:sz w:val="22"/>
        </w:rPr>
        <w:t xml:space="preserve"> Walk-away if outside the band.</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A $2.5M SBA pre-qual maps to roughly a $3M max deal size. A $4.5M pre-qual maps to roughly $7M or $2M EBITDA. Conventional financing has a different math (max deal size is roughly 45% of liquidity). We size every deal to the partner's pre-qual before sourcing.</w:t>
      </w:r>
    </w:p>
    <w:p>
      <w:pPr>
        <w:spacing w:after="120"/>
      </w:pPr>
      <w:r>
        <w:rPr>
          <w:rFonts w:ascii="Calibri" w:hAnsi="Calibri"/>
          <w:b/>
          <w:i w:val="0"/>
          <w:sz w:val="22"/>
          <w:u w:val="none"/>
        </w:rPr>
        <w:t>Broker on the Avoid List or Charging a Buy-Side Fee</w:t>
      </w:r>
    </w:p>
    <w:p>
      <w:pPr>
        <w:pStyle w:val="ListBullet"/>
        <w:spacing w:after="60"/>
        <w:ind w:left="432"/>
      </w:pPr>
      <w:r>
        <w:rPr>
          <w:rFonts w:ascii="Calibri" w:hAnsi="Calibri"/>
          <w:b/>
          <w:i w:val="0"/>
          <w:sz w:val="22"/>
        </w:rPr>
        <w:t>What it is:</w:t>
      </w:r>
      <w:r>
        <w:rPr>
          <w:rFonts w:ascii="Calibri" w:hAnsi="Calibri"/>
          <w:b w:val="0"/>
          <w:i w:val="0"/>
          <w:sz w:val="22"/>
        </w:rPr>
        <w:t xml:space="preserve"> The deal is listed by a broker we have flagged for poor deal quality, inflated multiples, misrepresented financials, or who is asking the buyer to pay a fee.</w:t>
      </w:r>
    </w:p>
    <w:p>
      <w:pPr>
        <w:pStyle w:val="ListBullet"/>
        <w:spacing w:after="60"/>
        <w:ind w:left="432"/>
      </w:pPr>
      <w:r>
        <w:rPr>
          <w:rFonts w:ascii="Calibri" w:hAnsi="Calibri"/>
          <w:b/>
          <w:i w:val="0"/>
          <w:sz w:val="22"/>
        </w:rPr>
        <w:t>Why it matters:</w:t>
      </w:r>
      <w:r>
        <w:rPr>
          <w:rFonts w:ascii="Calibri" w:hAnsi="Calibri"/>
          <w:b w:val="0"/>
          <w:i w:val="0"/>
          <w:sz w:val="22"/>
        </w:rPr>
        <w:t xml:space="preserve"> Some brokers consistently produce deals where the addback schedule does not survive a tax-return reconciliation. Others ask the buyer to pay them, which is a structural conflict because the broker is supposed to represent the seller. Any broker requesting a buy-side fee is an automatic discard.</w:t>
      </w:r>
    </w:p>
    <w:p>
      <w:pPr>
        <w:pStyle w:val="ListBullet"/>
        <w:spacing w:after="60"/>
        <w:ind w:left="432"/>
      </w:pPr>
      <w:r>
        <w:rPr>
          <w:rFonts w:ascii="Calibri" w:hAnsi="Calibri"/>
          <w:b/>
          <w:i w:val="0"/>
          <w:sz w:val="22"/>
        </w:rPr>
        <w:t>Severity:</w:t>
      </w:r>
      <w:r>
        <w:rPr>
          <w:rFonts w:ascii="Calibri" w:hAnsi="Calibri"/>
          <w:b w:val="0"/>
          <w:i w:val="0"/>
          <w:sz w:val="22"/>
        </w:rPr>
        <w:t xml:space="preserve"> Walk-away on buy-side fee. Red flag on avoid-list brokers.</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maintain a broker avoid list. Website Closers (high multiples, only sourced when a partner specifically asks). The Firm (poor deal quality). BusinessesForSale.com listings limited to one day per week (low response rates). Goshi/Baton listings: re-derive the addback schedule from tax returns because their stated addbacks routinely fail reconciliation. Transworld: extra caution because we have seen misrepresented deals from them. Buy-side fee anywhere: instant axe.</w:t>
      </w:r>
    </w:p>
    <w:p>
      <w:pPr>
        <w:spacing w:after="120"/>
      </w:pPr>
      <w:r>
        <w:rPr>
          <w:rFonts w:ascii="Calibri" w:hAnsi="Calibri"/>
          <w:b/>
          <w:i w:val="0"/>
          <w:sz w:val="22"/>
          <w:u w:val="none"/>
        </w:rPr>
        <w:t>Active LOI From Same Brokerage</w:t>
      </w:r>
    </w:p>
    <w:p>
      <w:pPr>
        <w:pStyle w:val="ListBullet"/>
        <w:spacing w:after="60"/>
        <w:ind w:left="432"/>
      </w:pPr>
      <w:r>
        <w:rPr>
          <w:rFonts w:ascii="Calibri" w:hAnsi="Calibri"/>
          <w:b/>
          <w:i w:val="0"/>
          <w:sz w:val="22"/>
        </w:rPr>
        <w:t>What it is:</w:t>
      </w:r>
      <w:r>
        <w:rPr>
          <w:rFonts w:ascii="Calibri" w:hAnsi="Calibri"/>
          <w:b w:val="0"/>
          <w:i w:val="0"/>
          <w:sz w:val="22"/>
        </w:rPr>
        <w:t xml:space="preserve"> Another partner of ours is already under LOI with a deal at the same brokerage.</w:t>
      </w:r>
    </w:p>
    <w:p>
      <w:pPr>
        <w:pStyle w:val="ListBullet"/>
        <w:spacing w:after="60"/>
        <w:ind w:left="432"/>
      </w:pPr>
      <w:r>
        <w:rPr>
          <w:rFonts w:ascii="Calibri" w:hAnsi="Calibri"/>
          <w:b/>
          <w:i w:val="0"/>
          <w:sz w:val="22"/>
        </w:rPr>
        <w:t>Why it matters:</w:t>
      </w:r>
      <w:r>
        <w:rPr>
          <w:rFonts w:ascii="Calibri" w:hAnsi="Calibri"/>
          <w:b w:val="0"/>
          <w:i w:val="0"/>
          <w:sz w:val="22"/>
        </w:rPr>
        <w:t xml:space="preserve"> When one of our partners is under LOI with a brokerage, we cease all outreach to that ENTIRE brokerage, not just the broker on the deal. Brokers escalate quickly when they perceive parallel pressure across their book, and it can blow up the active deal.</w:t>
      </w:r>
    </w:p>
    <w:p>
      <w:pPr>
        <w:pStyle w:val="ListBullet"/>
        <w:spacing w:after="60"/>
        <w:ind w:left="432"/>
      </w:pPr>
      <w:r>
        <w:rPr>
          <w:rFonts w:ascii="Calibri" w:hAnsi="Calibri"/>
          <w:b/>
          <w:i w:val="0"/>
          <w:sz w:val="22"/>
        </w:rPr>
        <w:t>Severity:</w:t>
      </w:r>
      <w:r>
        <w:rPr>
          <w:rFonts w:ascii="Calibri" w:hAnsi="Calibri"/>
          <w:b w:val="0"/>
          <w:i w:val="0"/>
          <w:sz w:val="22"/>
        </w:rPr>
        <w:t xml:space="preserve"> Walk-away (re-route, not kill the deal forever).</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track every active LOI by brokerage and pause outreach across that brokerage until the deal closes or dies. The deal you are looking at is not dead, but it is dead until the existing LOI resolves.</w:t>
      </w:r>
    </w:p>
    <w:p>
      <w:pPr>
        <w:pBdr>
          <w:bottom w:val="single" w:sz="6" w:space="1" w:color="C8C8C8"/>
        </w:pBdr>
        <w:spacing w:before="120" w:after="200"/>
      </w:pPr>
    </w:p>
    <w:p>
      <w:pPr>
        <w:keepNext/>
        <w:spacing w:before="200" w:after="80"/>
      </w:pPr>
      <w:r>
        <w:rPr>
          <w:rFonts w:ascii="Calibri" w:hAnsi="Calibri"/>
          <w:b/>
          <w:i w:val="0"/>
          <w:color w:val="0B2E5C"/>
          <w:sz w:val="28"/>
          <w:u w:val="none"/>
        </w:rPr>
        <w:t>Financial Red Flags (Internal DD After the Listing Screen)</w:t>
      </w:r>
    </w:p>
    <w:p>
      <w:pPr>
        <w:spacing w:after="120"/>
      </w:pPr>
      <w:r>
        <w:rPr>
          <w:rFonts w:ascii="Calibri" w:hAnsi="Calibri"/>
          <w:b w:val="0"/>
          <w:i w:val="0"/>
          <w:sz w:val="22"/>
          <w:u w:val="none"/>
        </w:rPr>
        <w:t>If a deal passes the listing-stage screen, it advances to deeper Internal DD. These checks run on the actual financial documents, not just the listing.</w:t>
      </w:r>
    </w:p>
    <w:p>
      <w:pPr>
        <w:spacing w:after="120"/>
      </w:pPr>
      <w:r>
        <w:rPr>
          <w:rFonts w:ascii="Calibri" w:hAnsi="Calibri"/>
          <w:b/>
          <w:i w:val="0"/>
          <w:sz w:val="22"/>
          <w:u w:val="none"/>
        </w:rPr>
        <w:t>SDE Inflation (The 15 to 50 Percent Haircut)</w:t>
      </w:r>
    </w:p>
    <w:p>
      <w:pPr>
        <w:pStyle w:val="ListBullet"/>
        <w:spacing w:after="60"/>
        <w:ind w:left="432"/>
      </w:pPr>
      <w:r>
        <w:rPr>
          <w:rFonts w:ascii="Calibri" w:hAnsi="Calibri"/>
          <w:b/>
          <w:i w:val="0"/>
          <w:sz w:val="22"/>
        </w:rPr>
        <w:t>What it is:</w:t>
      </w:r>
      <w:r>
        <w:rPr>
          <w:rFonts w:ascii="Calibri" w:hAnsi="Calibri"/>
          <w:b w:val="0"/>
          <w:i w:val="0"/>
          <w:sz w:val="22"/>
        </w:rPr>
        <w:t xml:space="preserve"> The seller or broker has inflated Seller Discretionary Earnings by including questionable addbacks, overstating revenue, or underreporting expenses. SDE is the most commonly manipulated number in any business listing. Industry-wide, 91% of listings include inflated addbacks.</w:t>
      </w:r>
    </w:p>
    <w:p>
      <w:pPr>
        <w:pStyle w:val="ListBullet"/>
        <w:spacing w:after="60"/>
        <w:ind w:left="432"/>
      </w:pPr>
      <w:r>
        <w:rPr>
          <w:rFonts w:ascii="Calibri" w:hAnsi="Calibri"/>
          <w:b/>
          <w:i w:val="0"/>
          <w:sz w:val="22"/>
        </w:rPr>
        <w:t>Why it matters:</w:t>
      </w:r>
      <w:r>
        <w:rPr>
          <w:rFonts w:ascii="Calibri" w:hAnsi="Calibri"/>
          <w:b w:val="0"/>
          <w:i w:val="0"/>
          <w:sz w:val="22"/>
        </w:rPr>
        <w:t xml:space="preserve"> If the cash flow is not real, the price is wrong, the debt service does not work, and you are overpaying from day one. Every dollar of fake SDE inflates the purchase price by 2x to 5x depending on the multiple.</w:t>
      </w:r>
    </w:p>
    <w:p>
      <w:pPr>
        <w:pStyle w:val="ListBullet"/>
        <w:spacing w:after="60"/>
        <w:ind w:left="432"/>
      </w:pPr>
      <w:r>
        <w:rPr>
          <w:rFonts w:ascii="Calibri" w:hAnsi="Calibri"/>
          <w:b/>
          <w:i w:val="0"/>
          <w:sz w:val="22"/>
        </w:rPr>
        <w:t>Severity:</w:t>
      </w:r>
      <w:r>
        <w:rPr>
          <w:rFonts w:ascii="Calibri" w:hAnsi="Calibri"/>
          <w:b w:val="0"/>
          <w:i w:val="0"/>
          <w:sz w:val="22"/>
        </w:rPr>
        <w:t xml:space="preserve"> Red flag. The listed SDE is never the underwriting number.</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apply a 15 to 50 percent haircut to every listed SDE figure when building the underwriting model. The haircut size depends on the addback profile (how many discretionary line items, how aggressive). We convert SDE to EBITDA or free cash flow. We subtract operator replacement cost ($80K-$150K for sub-$5M companies) when the partner does not plan to work full-time in the business. We never underwrite off the broker's stated number.</w:t>
      </w:r>
    </w:p>
    <w:p>
      <w:pPr>
        <w:spacing w:after="120"/>
      </w:pPr>
      <w:r>
        <w:rPr>
          <w:rFonts w:ascii="Calibri" w:hAnsi="Calibri"/>
          <w:b/>
          <w:i w:val="0"/>
          <w:sz w:val="22"/>
          <w:u w:val="none"/>
        </w:rPr>
        <w:t>Inconsistent Tax Returns</w:t>
      </w:r>
    </w:p>
    <w:p>
      <w:pPr>
        <w:pStyle w:val="ListBullet"/>
        <w:spacing w:after="60"/>
        <w:ind w:left="432"/>
      </w:pPr>
      <w:r>
        <w:rPr>
          <w:rFonts w:ascii="Calibri" w:hAnsi="Calibri"/>
          <w:b/>
          <w:i w:val="0"/>
          <w:sz w:val="22"/>
        </w:rPr>
        <w:t>What it is:</w:t>
      </w:r>
      <w:r>
        <w:rPr>
          <w:rFonts w:ascii="Calibri" w:hAnsi="Calibri"/>
          <w:b w:val="0"/>
          <w:i w:val="0"/>
          <w:sz w:val="22"/>
        </w:rPr>
        <w:t xml:space="preserve"> Revenue, expenses, or profit figures that do not match across the three years of tax returns. Missing years. Numbers that contradict the P&amp;L or the CIM.</w:t>
      </w:r>
    </w:p>
    <w:p>
      <w:pPr>
        <w:pStyle w:val="ListBullet"/>
        <w:spacing w:after="60"/>
        <w:ind w:left="432"/>
      </w:pPr>
      <w:r>
        <w:rPr>
          <w:rFonts w:ascii="Calibri" w:hAnsi="Calibri"/>
          <w:b/>
          <w:i w:val="0"/>
          <w:sz w:val="22"/>
        </w:rPr>
        <w:t>Why it matters:</w:t>
      </w:r>
      <w:r>
        <w:rPr>
          <w:rFonts w:ascii="Calibri" w:hAnsi="Calibri"/>
          <w:b w:val="0"/>
          <w:i w:val="0"/>
          <w:sz w:val="22"/>
        </w:rPr>
        <w:t xml:space="preserve"> Tax returns are filed under penalty of perjury. If the numbers on the tax return do not match the numbers on the broker listing, someone is not telling the truth. Either the seller understated revenue to the IRS or they are overstating it to you. Neither is acceptable.</w:t>
      </w:r>
    </w:p>
    <w:p>
      <w:pPr>
        <w:pStyle w:val="ListBullet"/>
        <w:spacing w:after="60"/>
        <w:ind w:left="432"/>
      </w:pPr>
      <w:r>
        <w:rPr>
          <w:rFonts w:ascii="Calibri" w:hAnsi="Calibri"/>
          <w:b/>
          <w:i w:val="0"/>
          <w:sz w:val="22"/>
        </w:rPr>
        <w:t>Severity:</w:t>
      </w:r>
      <w:r>
        <w:rPr>
          <w:rFonts w:ascii="Calibri" w:hAnsi="Calibri"/>
          <w:b w:val="0"/>
          <w:i w:val="0"/>
          <w:sz w:val="22"/>
        </w:rPr>
        <w:t xml:space="preserve"> Walk-away if the seller cannot explain the discrepancy clearly and immediately. Yellow flag if the discrepancy is minor and explainable (e.g., timing differences between cash and accrual).</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require three full years of tax returns plus year-to-date financials on every deal. No exceptions. If a year is missing, we ask why. If the answer is not satisfactory, we walk.</w:t>
      </w:r>
    </w:p>
    <w:p>
      <w:pPr>
        <w:spacing w:after="120"/>
      </w:pPr>
      <w:r>
        <w:rPr>
          <w:rFonts w:ascii="Calibri" w:hAnsi="Calibri"/>
          <w:b/>
          <w:i w:val="0"/>
          <w:sz w:val="22"/>
          <w:u w:val="none"/>
        </w:rPr>
        <w:t>Accrual vs. Cash Basis Mismatch</w:t>
      </w:r>
    </w:p>
    <w:p>
      <w:pPr>
        <w:pStyle w:val="ListBullet"/>
        <w:spacing w:after="60"/>
        <w:ind w:left="432"/>
      </w:pPr>
      <w:r>
        <w:rPr>
          <w:rFonts w:ascii="Calibri" w:hAnsi="Calibri"/>
          <w:b/>
          <w:i w:val="0"/>
          <w:sz w:val="22"/>
        </w:rPr>
        <w:t>What it is:</w:t>
      </w:r>
      <w:r>
        <w:rPr>
          <w:rFonts w:ascii="Calibri" w:hAnsi="Calibri"/>
          <w:b w:val="0"/>
          <w:i w:val="0"/>
          <w:sz w:val="22"/>
        </w:rPr>
        <w:t xml:space="preserve"> The P&amp;Ls are on accrual basis but the tax returns are on cash basis (or vice versa). Mixed methods make comparison impossible.</w:t>
      </w:r>
    </w:p>
    <w:p>
      <w:pPr>
        <w:pStyle w:val="ListBullet"/>
        <w:spacing w:after="60"/>
        <w:ind w:left="432"/>
      </w:pPr>
      <w:r>
        <w:rPr>
          <w:rFonts w:ascii="Calibri" w:hAnsi="Calibri"/>
          <w:b/>
          <w:i w:val="0"/>
          <w:sz w:val="22"/>
        </w:rPr>
        <w:t>Why it matters:</w:t>
      </w:r>
      <w:r>
        <w:rPr>
          <w:rFonts w:ascii="Calibri" w:hAnsi="Calibri"/>
          <w:b w:val="0"/>
          <w:i w:val="0"/>
          <w:sz w:val="22"/>
        </w:rPr>
        <w:t xml:space="preserve"> Cash and accrual produce materially different numbers. The SBA underwrites off the tax returns. If the financials we are pricing the deal on do not match the basis the lender will use, the deal cannot be valued. We cannot underwrite two different methods.</w:t>
      </w:r>
    </w:p>
    <w:p>
      <w:pPr>
        <w:pStyle w:val="ListBullet"/>
        <w:spacing w:after="60"/>
        <w:ind w:left="432"/>
      </w:pPr>
      <w:r>
        <w:rPr>
          <w:rFonts w:ascii="Calibri" w:hAnsi="Calibri"/>
          <w:b/>
          <w:i w:val="0"/>
          <w:sz w:val="22"/>
        </w:rPr>
        <w:t>Severity:</w:t>
      </w:r>
      <w:r>
        <w:rPr>
          <w:rFonts w:ascii="Calibri" w:hAnsi="Calibri"/>
          <w:b w:val="0"/>
          <w:i w:val="0"/>
          <w:sz w:val="22"/>
        </w:rPr>
        <w:t xml:space="preserve"> Red flag. Walk-away if the seller refuses to provide matching-basis financials.</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confirm the accounting method on every set of financials before they go to the Valuation team. If P&amp;Ls and tax returns are on different bases, we request matching-basis statements before underwriting. If the seller cannot or will not produce them, the deal is dead or we axe the offer.</w:t>
      </w:r>
    </w:p>
    <w:p>
      <w:pPr>
        <w:spacing w:after="120"/>
      </w:pPr>
      <w:r>
        <w:rPr>
          <w:rFonts w:ascii="Calibri" w:hAnsi="Calibri"/>
          <w:b/>
          <w:i w:val="0"/>
          <w:sz w:val="22"/>
          <w:u w:val="none"/>
        </w:rPr>
        <w:t>Declining Revenue Trend</w:t>
      </w:r>
    </w:p>
    <w:p>
      <w:pPr>
        <w:pStyle w:val="ListBullet"/>
        <w:spacing w:after="60"/>
        <w:ind w:left="432"/>
      </w:pPr>
      <w:r>
        <w:rPr>
          <w:rFonts w:ascii="Calibri" w:hAnsi="Calibri"/>
          <w:b/>
          <w:i w:val="0"/>
          <w:sz w:val="22"/>
        </w:rPr>
        <w:t>What it is:</w:t>
      </w:r>
      <w:r>
        <w:rPr>
          <w:rFonts w:ascii="Calibri" w:hAnsi="Calibri"/>
          <w:b w:val="0"/>
          <w:i w:val="0"/>
          <w:sz w:val="22"/>
        </w:rPr>
        <w:t xml:space="preserve"> Revenue or earnings have dropped year over year for two or more consecutive years. Internally we group declines into three buckets: rapid + aggressive ask, modest decline, and stable or mild decline.</w:t>
      </w:r>
    </w:p>
    <w:p>
      <w:pPr>
        <w:pStyle w:val="ListBullet"/>
        <w:spacing w:after="60"/>
        <w:ind w:left="432"/>
      </w:pPr>
      <w:r>
        <w:rPr>
          <w:rFonts w:ascii="Calibri" w:hAnsi="Calibri"/>
          <w:b/>
          <w:i w:val="0"/>
          <w:sz w:val="22"/>
        </w:rPr>
        <w:t>Why it matters:</w:t>
      </w:r>
      <w:r>
        <w:rPr>
          <w:rFonts w:ascii="Calibri" w:hAnsi="Calibri"/>
          <w:b w:val="0"/>
          <w:i w:val="0"/>
          <w:sz w:val="22"/>
        </w:rPr>
        <w:t xml:space="preserve"> A business that is shrinking is worth less every month you own it. You are not buying what the business was. You are buying what the business will be. The bucket determines the response. Rapid decline plus an aggressive ask is a kill. Modest decline gets a heavier structure (10% buyer cash injection plus a heavier seller note, with a tax-return contingency). Stable or mild decline can move forward on standard structure.</w:t>
      </w:r>
    </w:p>
    <w:p>
      <w:pPr>
        <w:pStyle w:val="ListBullet"/>
        <w:spacing w:after="60"/>
        <w:ind w:left="432"/>
      </w:pPr>
      <w:r>
        <w:rPr>
          <w:rFonts w:ascii="Calibri" w:hAnsi="Calibri"/>
          <w:b/>
          <w:i w:val="0"/>
          <w:sz w:val="22"/>
        </w:rPr>
        <w:t>Severity:</w:t>
      </w:r>
      <w:r>
        <w:rPr>
          <w:rFonts w:ascii="Calibri" w:hAnsi="Calibri"/>
          <w:b w:val="0"/>
          <w:i w:val="0"/>
          <w:sz w:val="22"/>
        </w:rPr>
        <w:t xml:space="preserve"> Red flag if the decline is 15%+ for two or more years. Walk-away if rapid decline is paired with an aggressive ask and no credible turnaround plan.</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look at three years of trend data on every deal. We bucket the decline. We price accordingly. If a prior year shows negative cash flow, the buyer cash injection requirement jumps from 5% to 10%. If the current year is negative, the deal is dead.</w:t>
      </w:r>
    </w:p>
    <w:p>
      <w:pPr>
        <w:spacing w:after="120"/>
      </w:pPr>
      <w:r>
        <w:rPr>
          <w:rFonts w:ascii="Calibri" w:hAnsi="Calibri"/>
          <w:b/>
          <w:i w:val="0"/>
          <w:sz w:val="22"/>
          <w:u w:val="none"/>
        </w:rPr>
        <w:t>DSCR Below the Floor</w:t>
      </w:r>
    </w:p>
    <w:p>
      <w:pPr>
        <w:pStyle w:val="ListBullet"/>
        <w:spacing w:after="60"/>
        <w:ind w:left="432"/>
      </w:pPr>
      <w:r>
        <w:rPr>
          <w:rFonts w:ascii="Calibri" w:hAnsi="Calibri"/>
          <w:b/>
          <w:i w:val="0"/>
          <w:sz w:val="22"/>
        </w:rPr>
        <w:t>What it is:</w:t>
      </w:r>
      <w:r>
        <w:rPr>
          <w:rFonts w:ascii="Calibri" w:hAnsi="Calibri"/>
          <w:b w:val="0"/>
          <w:i w:val="0"/>
          <w:sz w:val="22"/>
        </w:rPr>
        <w:t xml:space="preserve"> Debt Service Coverage Ratio. The bank's measure of how much cash flow remains after loan payments. SBA minimum is 1.15x for prior years and 1.50x for the current year. We target 2.0x and floor at 1.5x.</w:t>
      </w:r>
    </w:p>
    <w:p>
      <w:pPr>
        <w:pStyle w:val="ListBullet"/>
        <w:spacing w:after="60"/>
        <w:ind w:left="432"/>
      </w:pPr>
      <w:r>
        <w:rPr>
          <w:rFonts w:ascii="Calibri" w:hAnsi="Calibri"/>
          <w:b/>
          <w:i w:val="0"/>
          <w:sz w:val="22"/>
        </w:rPr>
        <w:t>Why it matters:</w:t>
      </w:r>
      <w:r>
        <w:rPr>
          <w:rFonts w:ascii="Calibri" w:hAnsi="Calibri"/>
          <w:b w:val="0"/>
          <w:i w:val="0"/>
          <w:sz w:val="22"/>
        </w:rPr>
        <w:t xml:space="preserve"> A deal can be SBA-approvable at 1.15x prior-year DSCR and still fail our screening because we want a margin of safety. We never do a deal at 1.25x. The math is too tight. One bad month and the buyer cannot make payroll.</w:t>
      </w:r>
    </w:p>
    <w:p>
      <w:pPr>
        <w:pStyle w:val="ListBullet"/>
        <w:spacing w:after="60"/>
        <w:ind w:left="432"/>
      </w:pPr>
      <w:r>
        <w:rPr>
          <w:rFonts w:ascii="Calibri" w:hAnsi="Calibri"/>
          <w:b/>
          <w:i w:val="0"/>
          <w:sz w:val="22"/>
        </w:rPr>
        <w:t>Severity:</w:t>
      </w:r>
      <w:r>
        <w:rPr>
          <w:rFonts w:ascii="Calibri" w:hAnsi="Calibri"/>
          <w:b w:val="0"/>
          <w:i w:val="0"/>
          <w:sz w:val="22"/>
        </w:rPr>
        <w:t xml:space="preserve"> Red flag at 1.5x. Walk-away below 1.5x.</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model DSCR on every deal at our target structure (70-85% SBA, 15-30% seller finance, 5% buyer cash). If the model comes back below 1.5x, we either restructure (heavier seller note, larger equity injection) or walk.</w:t>
      </w:r>
    </w:p>
    <w:p>
      <w:pPr>
        <w:spacing w:after="120"/>
      </w:pPr>
      <w:r>
        <w:rPr>
          <w:rFonts w:ascii="Calibri" w:hAnsi="Calibri"/>
          <w:b/>
          <w:i w:val="0"/>
          <w:sz w:val="22"/>
          <w:u w:val="none"/>
        </w:rPr>
        <w:t>Customer Concentration</w:t>
      </w:r>
    </w:p>
    <w:p>
      <w:pPr>
        <w:pStyle w:val="ListBullet"/>
        <w:spacing w:after="60"/>
        <w:ind w:left="432"/>
      </w:pPr>
      <w:r>
        <w:rPr>
          <w:rFonts w:ascii="Calibri" w:hAnsi="Calibri"/>
          <w:b/>
          <w:i w:val="0"/>
          <w:sz w:val="22"/>
        </w:rPr>
        <w:t>What it is:</w:t>
      </w:r>
      <w:r>
        <w:rPr>
          <w:rFonts w:ascii="Calibri" w:hAnsi="Calibri"/>
          <w:b w:val="0"/>
          <w:i w:val="0"/>
          <w:sz w:val="22"/>
        </w:rPr>
        <w:t xml:space="preserve"> A single customer accounts for a meaningful share of total revenue. The risk scales with the percentage.</w:t>
      </w:r>
    </w:p>
    <w:p>
      <w:pPr>
        <w:pStyle w:val="ListBullet"/>
        <w:spacing w:after="60"/>
        <w:ind w:left="432"/>
      </w:pPr>
      <w:r>
        <w:rPr>
          <w:rFonts w:ascii="Calibri" w:hAnsi="Calibri"/>
          <w:b/>
          <w:i w:val="0"/>
          <w:sz w:val="22"/>
        </w:rPr>
        <w:t>Why it matters:</w:t>
      </w:r>
      <w:r>
        <w:rPr>
          <w:rFonts w:ascii="Calibri" w:hAnsi="Calibri"/>
          <w:b w:val="0"/>
          <w:i w:val="0"/>
          <w:sz w:val="22"/>
        </w:rPr>
        <w:t xml:space="preserve"> If that customer leaves after the sale, you just lost a chunk of your cash flow. The customer has no obligation to stay. They had a relationship with the previous owner, not with you.</w:t>
      </w:r>
    </w:p>
    <w:p>
      <w:pPr>
        <w:pStyle w:val="ListBullet"/>
        <w:spacing w:after="60"/>
        <w:ind w:left="432"/>
      </w:pPr>
      <w:r>
        <w:rPr>
          <w:rFonts w:ascii="Calibri" w:hAnsi="Calibri"/>
          <w:b/>
          <w:i w:val="0"/>
          <w:sz w:val="22"/>
        </w:rPr>
        <w:t>Severity:</w:t>
      </w:r>
      <w:r>
        <w:rPr>
          <w:rFonts w:ascii="Calibri" w:hAnsi="Calibri"/>
          <w:b w:val="0"/>
          <w:i w:val="0"/>
          <w:sz w:val="22"/>
        </w:rPr>
        <w:t xml:space="preserve"> Yellow flag at 20-30%. Red flag at 30-40%. Walk-away at 60%+ regardless of other factors. At 30-40%, the deal can still proceed if everything else looks clean, but it gets flagged in Bitrix for CIM review and a deeper customer relationship assessment.</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request a customer revenue breakdown on every deal. At 30%+, we look at contract terms, relationship history, and whether the customer relationship is tied to the owner personally. At 60%+, we walk regardless of the rest of the deal.</w:t>
      </w:r>
    </w:p>
    <w:p>
      <w:pPr>
        <w:pBdr>
          <w:bottom w:val="single" w:sz="6" w:space="1" w:color="C8C8C8"/>
        </w:pBdr>
        <w:spacing w:before="120" w:after="200"/>
      </w:pPr>
    </w:p>
    <w:p>
      <w:pPr>
        <w:keepNext/>
        <w:spacing w:before="200" w:after="80"/>
      </w:pPr>
      <w:r>
        <w:rPr>
          <w:rFonts w:ascii="Calibri" w:hAnsi="Calibri"/>
          <w:b/>
          <w:i w:val="0"/>
          <w:color w:val="0B2E5C"/>
          <w:sz w:val="28"/>
          <w:u w:val="none"/>
        </w:rPr>
        <w:t>Addback Red Flags</w:t>
      </w:r>
    </w:p>
    <w:p>
      <w:pPr>
        <w:spacing w:after="120"/>
      </w:pPr>
      <w:r>
        <w:rPr>
          <w:rFonts w:ascii="Calibri" w:hAnsi="Calibri"/>
          <w:b/>
          <w:i w:val="0"/>
          <w:sz w:val="22"/>
          <w:u w:val="none"/>
        </w:rPr>
        <w:t>The Universal Addback Rule</w:t>
      </w:r>
    </w:p>
    <w:p>
      <w:pPr>
        <w:pStyle w:val="ListBullet"/>
        <w:spacing w:after="60"/>
        <w:ind w:left="432"/>
      </w:pPr>
      <w:r>
        <w:rPr>
          <w:rFonts w:ascii="Calibri" w:hAnsi="Calibri"/>
          <w:b/>
          <w:i w:val="0"/>
          <w:sz w:val="22"/>
        </w:rPr>
        <w:t>What it is:</w:t>
      </w:r>
      <w:r>
        <w:rPr>
          <w:rFonts w:ascii="Calibri" w:hAnsi="Calibri"/>
          <w:b w:val="0"/>
          <w:i w:val="0"/>
          <w:sz w:val="22"/>
        </w:rPr>
        <w:t xml:space="preserve"> Owner compensation is the only universal addback. Everything else needs a specific reason.</w:t>
      </w:r>
    </w:p>
    <w:p>
      <w:pPr>
        <w:pStyle w:val="ListBullet"/>
        <w:spacing w:after="60"/>
        <w:ind w:left="432"/>
      </w:pPr>
      <w:r>
        <w:rPr>
          <w:rFonts w:ascii="Calibri" w:hAnsi="Calibri"/>
          <w:b/>
          <w:i w:val="0"/>
          <w:sz w:val="22"/>
        </w:rPr>
        <w:t>Why it matters:</w:t>
      </w:r>
      <w:r>
        <w:rPr>
          <w:rFonts w:ascii="Calibri" w:hAnsi="Calibri"/>
          <w:b w:val="0"/>
          <w:i w:val="0"/>
          <w:sz w:val="22"/>
        </w:rPr>
        <w:t xml:space="preserve"> Sellers and brokers pad SDE with personal expenses run through the business. A clean addback schedule has owner salary (in whatever form it took, including guaranteed payments), one-time legal fees, family member salaries that will not transfer, and a small number of clearly documented one-time items. That is it.</w:t>
      </w:r>
    </w:p>
    <w:p>
      <w:pPr>
        <w:pStyle w:val="ListBullet"/>
        <w:spacing w:after="60"/>
        <w:ind w:left="432"/>
      </w:pPr>
      <w:r>
        <w:rPr>
          <w:rFonts w:ascii="Calibri" w:hAnsi="Calibri"/>
          <w:b/>
          <w:i w:val="0"/>
          <w:sz w:val="22"/>
        </w:rPr>
        <w:t>Severity:</w:t>
      </w:r>
      <w:r>
        <w:rPr>
          <w:rFonts w:ascii="Calibri" w:hAnsi="Calibri"/>
          <w:b w:val="0"/>
          <w:i w:val="0"/>
          <w:sz w:val="22"/>
        </w:rPr>
        <w:t xml:space="preserve"> Red flag if the addback schedule violates this rule.</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strip every addback that is not owner comp or a clearly documented one-time event. Health insurance, telephone bills, life insurance, personal car, personal travel, "new website" costs - none of these count. We rebuild the addback schedule line by line.</w:t>
      </w:r>
    </w:p>
    <w:p>
      <w:pPr>
        <w:spacing w:after="120"/>
      </w:pPr>
      <w:r>
        <w:rPr>
          <w:rFonts w:ascii="Calibri" w:hAnsi="Calibri"/>
          <w:b/>
          <w:i w:val="0"/>
          <w:sz w:val="22"/>
          <w:u w:val="none"/>
        </w:rPr>
        <w:t>The 35 Percent Threshold</w:t>
      </w:r>
    </w:p>
    <w:p>
      <w:pPr>
        <w:pStyle w:val="ListBullet"/>
        <w:spacing w:after="60"/>
        <w:ind w:left="432"/>
      </w:pPr>
      <w:r>
        <w:rPr>
          <w:rFonts w:ascii="Calibri" w:hAnsi="Calibri"/>
          <w:b/>
          <w:i w:val="0"/>
          <w:sz w:val="22"/>
        </w:rPr>
        <w:t>What it is:</w:t>
      </w:r>
      <w:r>
        <w:rPr>
          <w:rFonts w:ascii="Calibri" w:hAnsi="Calibri"/>
          <w:b w:val="0"/>
          <w:i w:val="0"/>
          <w:sz w:val="22"/>
        </w:rPr>
        <w:t xml:space="preserve"> If 30 to 35 percent or more of the listed SDE comes from non-owner-compensation addbacks, the deal will die before valuation.</w:t>
      </w:r>
    </w:p>
    <w:p>
      <w:pPr>
        <w:pStyle w:val="ListBullet"/>
        <w:spacing w:after="60"/>
        <w:ind w:left="432"/>
      </w:pPr>
      <w:r>
        <w:rPr>
          <w:rFonts w:ascii="Calibri" w:hAnsi="Calibri"/>
          <w:b/>
          <w:i w:val="0"/>
          <w:sz w:val="22"/>
        </w:rPr>
        <w:t>Why it matters:</w:t>
      </w:r>
      <w:r>
        <w:rPr>
          <w:rFonts w:ascii="Calibri" w:hAnsi="Calibri"/>
          <w:b w:val="0"/>
          <w:i w:val="0"/>
          <w:sz w:val="22"/>
        </w:rPr>
        <w:t xml:space="preserve"> When a third of the stated SDE depends on questionable addbacks, the real cash flow is structurally lower than what the listing claims. The SBA underwriter will strip those addbacks and the deal will not pencil at the asking price.</w:t>
      </w:r>
    </w:p>
    <w:p>
      <w:pPr>
        <w:pStyle w:val="ListBullet"/>
        <w:spacing w:after="60"/>
        <w:ind w:left="432"/>
      </w:pPr>
      <w:r>
        <w:rPr>
          <w:rFonts w:ascii="Calibri" w:hAnsi="Calibri"/>
          <w:b/>
          <w:i w:val="0"/>
          <w:sz w:val="22"/>
        </w:rPr>
        <w:t>Severity:</w:t>
      </w:r>
      <w:r>
        <w:rPr>
          <w:rFonts w:ascii="Calibri" w:hAnsi="Calibri"/>
          <w:b w:val="0"/>
          <w:i w:val="0"/>
          <w:sz w:val="22"/>
        </w:rPr>
        <w:t xml:space="preserve"> Red flag at 30%. Walk-away at 35%+ unless the partner is willing to negotiate the price down to the stripped number.</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calculate the addback ratio on every deal. The denominator is listed SDE. The numerator is everything other than owner compensation. If the ratio breaches 30 to 35 percent, we either renegotiate to a stripped-SDE valuation or walk.</w:t>
      </w:r>
    </w:p>
    <w:p>
      <w:pPr>
        <w:spacing w:after="120"/>
      </w:pPr>
      <w:r>
        <w:rPr>
          <w:rFonts w:ascii="Calibri" w:hAnsi="Calibri"/>
          <w:b/>
          <w:i w:val="0"/>
          <w:sz w:val="22"/>
          <w:u w:val="none"/>
        </w:rPr>
        <w:t>Personal Expenses Claimed as Addbacks (The Uncle Sam Test)</w:t>
      </w:r>
    </w:p>
    <w:p>
      <w:pPr>
        <w:pStyle w:val="ListBullet"/>
        <w:spacing w:after="60"/>
        <w:ind w:left="432"/>
      </w:pPr>
      <w:r>
        <w:rPr>
          <w:rFonts w:ascii="Calibri" w:hAnsi="Calibri"/>
          <w:b/>
          <w:i w:val="0"/>
          <w:sz w:val="22"/>
        </w:rPr>
        <w:t>What it is:</w:t>
      </w:r>
      <w:r>
        <w:rPr>
          <w:rFonts w:ascii="Calibri" w:hAnsi="Calibri"/>
          <w:b w:val="0"/>
          <w:i w:val="0"/>
          <w:sz w:val="22"/>
        </w:rPr>
        <w:t xml:space="preserve"> The seller lists personal meals, travel, auto expenses, cell phones, medical insurance, or charitable donations as addbacks to inflate SDE.</w:t>
      </w:r>
    </w:p>
    <w:p>
      <w:pPr>
        <w:pStyle w:val="ListBullet"/>
        <w:spacing w:after="60"/>
        <w:ind w:left="432"/>
      </w:pPr>
      <w:r>
        <w:rPr>
          <w:rFonts w:ascii="Calibri" w:hAnsi="Calibri"/>
          <w:b/>
          <w:i w:val="0"/>
          <w:sz w:val="22"/>
        </w:rPr>
        <w:t>Why it matters:</w:t>
      </w:r>
      <w:r>
        <w:rPr>
          <w:rFonts w:ascii="Calibri" w:hAnsi="Calibri"/>
          <w:b w:val="0"/>
          <w:i w:val="0"/>
          <w:sz w:val="22"/>
        </w:rPr>
        <w:t xml:space="preserve"> If the owner claimed these as business tax deductions, they cannot turn around and call them personal addbacks for valuation purposes. You cannot fool the government twice. The IRS said it was a business expense. That means it is a business expense, period.</w:t>
      </w:r>
    </w:p>
    <w:p>
      <w:pPr>
        <w:pStyle w:val="ListBullet"/>
        <w:spacing w:after="60"/>
        <w:ind w:left="432"/>
      </w:pPr>
      <w:r>
        <w:rPr>
          <w:rFonts w:ascii="Calibri" w:hAnsi="Calibri"/>
          <w:b/>
          <w:i w:val="0"/>
          <w:sz w:val="22"/>
        </w:rPr>
        <w:t>Severity:</w:t>
      </w:r>
      <w:r>
        <w:rPr>
          <w:rFonts w:ascii="Calibri" w:hAnsi="Calibri"/>
          <w:b w:val="0"/>
          <w:i w:val="0"/>
          <w:sz w:val="22"/>
        </w:rPr>
        <w:t xml:space="preserve"> Red flag. Fake addbacks are the most common trick in deal packaging.</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apply what we call the Uncle Sam Test. If you cannot explain the addback to the IRS with a straight face, it does not count. We strip out all questionable addbacks and recalculate true free cash flow.</w:t>
      </w:r>
    </w:p>
    <w:p>
      <w:pPr>
        <w:spacing w:after="120"/>
      </w:pPr>
      <w:r>
        <w:rPr>
          <w:rFonts w:ascii="Calibri" w:hAnsi="Calibri"/>
          <w:b/>
          <w:i w:val="0"/>
          <w:sz w:val="22"/>
          <w:u w:val="none"/>
        </w:rPr>
        <w:t>Distributions Claimed as Addbacks</w:t>
      </w:r>
    </w:p>
    <w:p>
      <w:pPr>
        <w:pStyle w:val="ListBullet"/>
        <w:spacing w:after="60"/>
        <w:ind w:left="432"/>
      </w:pPr>
      <w:r>
        <w:rPr>
          <w:rFonts w:ascii="Calibri" w:hAnsi="Calibri"/>
          <w:b/>
          <w:i w:val="0"/>
          <w:sz w:val="22"/>
        </w:rPr>
        <w:t>What it is:</w:t>
      </w:r>
      <w:r>
        <w:rPr>
          <w:rFonts w:ascii="Calibri" w:hAnsi="Calibri"/>
          <w:b w:val="0"/>
          <w:i w:val="0"/>
          <w:sz w:val="22"/>
        </w:rPr>
        <w:t xml:space="preserve"> The seller adds back owner distributions or shareholder distributions on top of an already-claimed owner salary.</w:t>
      </w:r>
    </w:p>
    <w:p>
      <w:pPr>
        <w:pStyle w:val="ListBullet"/>
        <w:spacing w:after="60"/>
        <w:ind w:left="432"/>
      </w:pPr>
      <w:r>
        <w:rPr>
          <w:rFonts w:ascii="Calibri" w:hAnsi="Calibri"/>
          <w:b/>
          <w:i w:val="0"/>
          <w:sz w:val="22"/>
        </w:rPr>
        <w:t>Why it matters:</w:t>
      </w:r>
      <w:r>
        <w:rPr>
          <w:rFonts w:ascii="Calibri" w:hAnsi="Calibri"/>
          <w:b w:val="0"/>
          <w:i w:val="0"/>
          <w:sz w:val="22"/>
        </w:rPr>
        <w:t xml:space="preserve"> Distributions live below the P&amp;L line. They are not an expense. Adding them back is double-counting. We have seen sellers attempt this repeatedly. It is not legitimate.</w:t>
      </w:r>
    </w:p>
    <w:p>
      <w:pPr>
        <w:pStyle w:val="ListBullet"/>
        <w:spacing w:after="60"/>
        <w:ind w:left="432"/>
      </w:pPr>
      <w:r>
        <w:rPr>
          <w:rFonts w:ascii="Calibri" w:hAnsi="Calibri"/>
          <w:b/>
          <w:i w:val="0"/>
          <w:sz w:val="22"/>
        </w:rPr>
        <w:t>Severity:</w:t>
      </w:r>
      <w:r>
        <w:rPr>
          <w:rFonts w:ascii="Calibri" w:hAnsi="Calibri"/>
          <w:b w:val="0"/>
          <w:i w:val="0"/>
          <w:sz w:val="22"/>
        </w:rPr>
        <w:t xml:space="preserve"> Walk-away on the addback (the deal can survive if the seller accepts the corrected number, but the addback itself is dead).</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strip every distribution from the addback schedule on first review. If the deal only works with distributions added back, the deal does not work.</w:t>
      </w:r>
    </w:p>
    <w:p>
      <w:pPr>
        <w:spacing w:after="120"/>
      </w:pPr>
      <w:r>
        <w:rPr>
          <w:rFonts w:ascii="Calibri" w:hAnsi="Calibri"/>
          <w:b/>
          <w:i w:val="0"/>
          <w:sz w:val="22"/>
          <w:u w:val="none"/>
        </w:rPr>
        <w:t>Non-Recurring Income Included in Cash Flow</w:t>
      </w:r>
    </w:p>
    <w:p>
      <w:pPr>
        <w:pStyle w:val="ListBullet"/>
        <w:spacing w:after="60"/>
        <w:ind w:left="432"/>
      </w:pPr>
      <w:r>
        <w:rPr>
          <w:rFonts w:ascii="Calibri" w:hAnsi="Calibri"/>
          <w:b/>
          <w:i w:val="0"/>
          <w:sz w:val="22"/>
        </w:rPr>
        <w:t>What it is:</w:t>
      </w:r>
      <w:r>
        <w:rPr>
          <w:rFonts w:ascii="Calibri" w:hAnsi="Calibri"/>
          <w:b w:val="0"/>
          <w:i w:val="0"/>
          <w:sz w:val="22"/>
        </w:rPr>
        <w:t xml:space="preserve"> The seller includes one-time revenue events (PPP loans, insurance payouts, a large one-off contract, asset sales) in their cash flow presentation to inflate the numbers.</w:t>
      </w:r>
    </w:p>
    <w:p>
      <w:pPr>
        <w:pStyle w:val="ListBullet"/>
        <w:spacing w:after="60"/>
        <w:ind w:left="432"/>
      </w:pPr>
      <w:r>
        <w:rPr>
          <w:rFonts w:ascii="Calibri" w:hAnsi="Calibri"/>
          <w:b/>
          <w:i w:val="0"/>
          <w:sz w:val="22"/>
        </w:rPr>
        <w:t>Why it matters:</w:t>
      </w:r>
      <w:r>
        <w:rPr>
          <w:rFonts w:ascii="Calibri" w:hAnsi="Calibri"/>
          <w:b w:val="0"/>
          <w:i w:val="0"/>
          <w:sz w:val="22"/>
        </w:rPr>
        <w:t xml:space="preserve"> You are buying the ongoing cash flow of the business, not a one-time windfall. If last year's revenue included a $200K insurance payout that will never repeat, that is not cash flow. That is noise.</w:t>
      </w:r>
    </w:p>
    <w:p>
      <w:pPr>
        <w:pStyle w:val="ListBullet"/>
        <w:spacing w:after="60"/>
        <w:ind w:left="432"/>
      </w:pPr>
      <w:r>
        <w:rPr>
          <w:rFonts w:ascii="Calibri" w:hAnsi="Calibri"/>
          <w:b/>
          <w:i w:val="0"/>
          <w:sz w:val="22"/>
        </w:rPr>
        <w:t>Severity:</w:t>
      </w:r>
      <w:r>
        <w:rPr>
          <w:rFonts w:ascii="Calibri" w:hAnsi="Calibri"/>
          <w:b w:val="0"/>
          <w:i w:val="0"/>
          <w:sz w:val="22"/>
        </w:rPr>
        <w:t xml:space="preserve"> Yellow flag if caught early and easily adjusted. Red flag if the seller is presenting these numbers without disclosure.</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review every line item in the financials for non-recurring items. We strip them out and recalculate. If the deal still works on the adjusted numbers, it moves forward.</w:t>
      </w:r>
    </w:p>
    <w:p>
      <w:pPr>
        <w:spacing w:after="120"/>
      </w:pPr>
      <w:r>
        <w:rPr>
          <w:rFonts w:ascii="Calibri" w:hAnsi="Calibri"/>
          <w:b/>
          <w:i w:val="0"/>
          <w:sz w:val="22"/>
          <w:u w:val="none"/>
        </w:rPr>
        <w:t>"One-Time" Expenses That Recur Every Year</w:t>
      </w:r>
    </w:p>
    <w:p>
      <w:pPr>
        <w:pStyle w:val="ListBullet"/>
        <w:spacing w:after="60"/>
        <w:ind w:left="432"/>
      </w:pPr>
      <w:r>
        <w:rPr>
          <w:rFonts w:ascii="Calibri" w:hAnsi="Calibri"/>
          <w:b/>
          <w:i w:val="0"/>
          <w:sz w:val="22"/>
        </w:rPr>
        <w:t>What it is:</w:t>
      </w:r>
      <w:r>
        <w:rPr>
          <w:rFonts w:ascii="Calibri" w:hAnsi="Calibri"/>
          <w:b w:val="0"/>
          <w:i w:val="0"/>
          <w:sz w:val="22"/>
        </w:rPr>
        <w:t xml:space="preserve"> The seller adds back expenses labeled as "one-time" that appear in some form every single year. They just rotate categories. One year it is a roof repair. Next year it is new equipment. The year after, it is a legal settlement.</w:t>
      </w:r>
    </w:p>
    <w:p>
      <w:pPr>
        <w:pStyle w:val="ListBullet"/>
        <w:spacing w:after="60"/>
        <w:ind w:left="432"/>
      </w:pPr>
      <w:r>
        <w:rPr>
          <w:rFonts w:ascii="Calibri" w:hAnsi="Calibri"/>
          <w:b/>
          <w:i w:val="0"/>
          <w:sz w:val="22"/>
        </w:rPr>
        <w:t>Why it matters:</w:t>
      </w:r>
      <w:r>
        <w:rPr>
          <w:rFonts w:ascii="Calibri" w:hAnsi="Calibri"/>
          <w:b w:val="0"/>
          <w:i w:val="0"/>
          <w:sz w:val="22"/>
        </w:rPr>
        <w:t xml:space="preserve"> If it happens every year, it is not one-time. It is an operating expense. Adding it back inflates your cash flow projection and will leave you short when the same type of expense inevitably shows up.</w:t>
      </w:r>
    </w:p>
    <w:p>
      <w:pPr>
        <w:pStyle w:val="ListBullet"/>
        <w:spacing w:after="60"/>
        <w:ind w:left="432"/>
      </w:pPr>
      <w:r>
        <w:rPr>
          <w:rFonts w:ascii="Calibri" w:hAnsi="Calibri"/>
          <w:b/>
          <w:i w:val="0"/>
          <w:sz w:val="22"/>
        </w:rPr>
        <w:t>Severity:</w:t>
      </w:r>
      <w:r>
        <w:rPr>
          <w:rFonts w:ascii="Calibri" w:hAnsi="Calibri"/>
          <w:b w:val="0"/>
          <w:i w:val="0"/>
          <w:sz w:val="22"/>
        </w:rPr>
        <w:t xml:space="preserve"> Yellow flag. Common enough that we expect it on most deals, but it requires adjustment.</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look at three years of addbacks side by side. If "one-time" expenses total a similar amount each year under different labels, we treat them as recurring operating costs.</w:t>
      </w:r>
    </w:p>
    <w:p>
      <w:pPr>
        <w:spacing w:after="120"/>
      </w:pPr>
      <w:r>
        <w:rPr>
          <w:rFonts w:ascii="Calibri" w:hAnsi="Calibri"/>
          <w:b/>
          <w:i w:val="0"/>
          <w:sz w:val="22"/>
          <w:u w:val="none"/>
        </w:rPr>
        <w:t>Below-Market Rent from Related Parties</w:t>
      </w:r>
    </w:p>
    <w:p>
      <w:pPr>
        <w:pStyle w:val="ListBullet"/>
        <w:spacing w:after="60"/>
        <w:ind w:left="432"/>
      </w:pPr>
      <w:r>
        <w:rPr>
          <w:rFonts w:ascii="Calibri" w:hAnsi="Calibri"/>
          <w:b/>
          <w:i w:val="0"/>
          <w:sz w:val="22"/>
        </w:rPr>
        <w:t>What it is:</w:t>
      </w:r>
      <w:r>
        <w:rPr>
          <w:rFonts w:ascii="Calibri" w:hAnsi="Calibri"/>
          <w:b w:val="0"/>
          <w:i w:val="0"/>
          <w:sz w:val="22"/>
        </w:rPr>
        <w:t xml:space="preserve"> The owner also owns the real estate and charges the business below-market rent. Or the business operates out of a family member's property at a favorable rate.</w:t>
      </w:r>
    </w:p>
    <w:p>
      <w:pPr>
        <w:pStyle w:val="ListBullet"/>
        <w:spacing w:after="60"/>
        <w:ind w:left="432"/>
      </w:pPr>
      <w:r>
        <w:rPr>
          <w:rFonts w:ascii="Calibri" w:hAnsi="Calibri"/>
          <w:b/>
          <w:i w:val="0"/>
          <w:sz w:val="22"/>
        </w:rPr>
        <w:t>Why it matters:</w:t>
      </w:r>
      <w:r>
        <w:rPr>
          <w:rFonts w:ascii="Calibri" w:hAnsi="Calibri"/>
          <w:b w:val="0"/>
          <w:i w:val="0"/>
          <w:sz w:val="22"/>
        </w:rPr>
        <w:t xml:space="preserve"> When you take over, that rent goes to market rate. Your cash flow just dropped by the difference. If the owner was paying $3,000/month on a space that rents for $6,000/month, that is a $36,000 annual hit to your bottom line that is not reflected in the current financials.</w:t>
      </w:r>
    </w:p>
    <w:p>
      <w:pPr>
        <w:pStyle w:val="ListBullet"/>
        <w:spacing w:after="60"/>
        <w:ind w:left="432"/>
      </w:pPr>
      <w:r>
        <w:rPr>
          <w:rFonts w:ascii="Calibri" w:hAnsi="Calibri"/>
          <w:b/>
          <w:i w:val="0"/>
          <w:sz w:val="22"/>
        </w:rPr>
        <w:t>Severity:</w:t>
      </w:r>
      <w:r>
        <w:rPr>
          <w:rFonts w:ascii="Calibri" w:hAnsi="Calibri"/>
          <w:b w:val="0"/>
          <w:i w:val="0"/>
          <w:sz w:val="22"/>
        </w:rPr>
        <w:t xml:space="preserve"> Red flag. This is a normalization adjustment that directly reduces the real value of the business.</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research market rents for comparable spaces. We adjust the cash flow to reflect what a new owner would actually pay. We factor this into our valuation before underwriting.</w:t>
      </w:r>
    </w:p>
    <w:p>
      <w:pPr>
        <w:spacing w:after="120"/>
      </w:pPr>
      <w:r>
        <w:rPr>
          <w:rFonts w:ascii="Calibri" w:hAnsi="Calibri"/>
          <w:b/>
          <w:i w:val="0"/>
          <w:sz w:val="22"/>
          <w:u w:val="none"/>
        </w:rPr>
        <w:t>Owner Count and Replacement Salary</w:t>
      </w:r>
    </w:p>
    <w:p>
      <w:pPr>
        <w:pStyle w:val="ListBullet"/>
        <w:spacing w:after="60"/>
        <w:ind w:left="432"/>
      </w:pPr>
      <w:r>
        <w:rPr>
          <w:rFonts w:ascii="Calibri" w:hAnsi="Calibri"/>
          <w:b/>
          <w:i w:val="0"/>
          <w:sz w:val="22"/>
        </w:rPr>
        <w:t>What it is:</w:t>
      </w:r>
      <w:r>
        <w:rPr>
          <w:rFonts w:ascii="Calibri" w:hAnsi="Calibri"/>
          <w:b w:val="0"/>
          <w:i w:val="0"/>
          <w:sz w:val="22"/>
        </w:rPr>
        <w:t xml:space="preserve"> The business has two or more owners working full-time, but the SDE only reflects one owner's compensation as an addback.</w:t>
      </w:r>
    </w:p>
    <w:p>
      <w:pPr>
        <w:pStyle w:val="ListBullet"/>
        <w:spacing w:after="60"/>
        <w:ind w:left="432"/>
      </w:pPr>
      <w:r>
        <w:rPr>
          <w:rFonts w:ascii="Calibri" w:hAnsi="Calibri"/>
          <w:b/>
          <w:i w:val="0"/>
          <w:sz w:val="22"/>
        </w:rPr>
        <w:t>Why it matters:</w:t>
      </w:r>
      <w:r>
        <w:rPr>
          <w:rFonts w:ascii="Calibri" w:hAnsi="Calibri"/>
          <w:b w:val="0"/>
          <w:i w:val="0"/>
          <w:sz w:val="22"/>
        </w:rPr>
        <w:t xml:space="preserve"> When you buy the business, you have to replace each working owner. If two owners are pulling 45-hour weeks each and you are one buyer, you will need to hire someone to replace the second owner. That salary comes out of the cash flow. A $500K SDE with two full-time working owners is really $300K to $400K.</w:t>
      </w:r>
    </w:p>
    <w:p>
      <w:pPr>
        <w:pStyle w:val="ListBullet"/>
        <w:spacing w:after="60"/>
        <w:ind w:left="432"/>
      </w:pPr>
      <w:r>
        <w:rPr>
          <w:rFonts w:ascii="Calibri" w:hAnsi="Calibri"/>
          <w:b/>
          <w:i w:val="0"/>
          <w:sz w:val="22"/>
        </w:rPr>
        <w:t>Severity:</w:t>
      </w:r>
      <w:r>
        <w:rPr>
          <w:rFonts w:ascii="Calibri" w:hAnsi="Calibri"/>
          <w:b w:val="0"/>
          <w:i w:val="0"/>
          <w:sz w:val="22"/>
        </w:rPr>
        <w:t xml:space="preserve"> Red flag if not adjusted in the underwriting model.</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deduct $100K to $200K per additional working owner from the listed SDE before underwriting. The exact number depends on the role and the local market for that role.</w:t>
      </w:r>
    </w:p>
    <w:p>
      <w:pPr>
        <w:spacing w:after="120"/>
      </w:pPr>
      <w:r>
        <w:rPr>
          <w:rFonts w:ascii="Calibri" w:hAnsi="Calibri"/>
          <w:b/>
          <w:i w:val="0"/>
          <w:sz w:val="22"/>
          <w:u w:val="none"/>
        </w:rPr>
        <w:t>Industry-Specific Misclassification (1099 vs W2)</w:t>
      </w:r>
    </w:p>
    <w:p>
      <w:pPr>
        <w:pStyle w:val="ListBullet"/>
        <w:spacing w:after="60"/>
        <w:ind w:left="432"/>
      </w:pPr>
      <w:r>
        <w:rPr>
          <w:rFonts w:ascii="Calibri" w:hAnsi="Calibri"/>
          <w:b/>
          <w:i w:val="0"/>
          <w:sz w:val="22"/>
        </w:rPr>
        <w:t>What it is:</w:t>
      </w:r>
      <w:r>
        <w:rPr>
          <w:rFonts w:ascii="Calibri" w:hAnsi="Calibri"/>
          <w:b w:val="0"/>
          <w:i w:val="0"/>
          <w:sz w:val="22"/>
        </w:rPr>
        <w:t xml:space="preserve"> The business uses 1099 contractors for roles that are operationally W2 employees. Common in roofing, HVAC, and other trades. The financials look better with 1099s because there is no payroll tax burden.</w:t>
      </w:r>
    </w:p>
    <w:p>
      <w:pPr>
        <w:pStyle w:val="ListBullet"/>
        <w:spacing w:after="60"/>
        <w:ind w:left="432"/>
      </w:pPr>
      <w:r>
        <w:rPr>
          <w:rFonts w:ascii="Calibri" w:hAnsi="Calibri"/>
          <w:b/>
          <w:i w:val="0"/>
          <w:sz w:val="22"/>
        </w:rPr>
        <w:t>Why it matters:</w:t>
      </w:r>
      <w:r>
        <w:rPr>
          <w:rFonts w:ascii="Calibri" w:hAnsi="Calibri"/>
          <w:b w:val="0"/>
          <w:i w:val="0"/>
          <w:sz w:val="22"/>
        </w:rPr>
        <w:t xml:space="preserve"> This is a real liability that follows the business. The fix is post-acquisition lawyer indemnification, not applying W2 cost to the valuation. Applying W2 cost in valuation is the wrong move because the lender will not accept a synthetic adjustment, and the seller will refuse the resulting price.</w:t>
      </w:r>
    </w:p>
    <w:p>
      <w:pPr>
        <w:pStyle w:val="ListBullet"/>
        <w:spacing w:after="60"/>
        <w:ind w:left="432"/>
      </w:pPr>
      <w:r>
        <w:rPr>
          <w:rFonts w:ascii="Calibri" w:hAnsi="Calibri"/>
          <w:b/>
          <w:i w:val="0"/>
          <w:sz w:val="22"/>
        </w:rPr>
        <w:t>Severity:</w:t>
      </w:r>
      <w:r>
        <w:rPr>
          <w:rFonts w:ascii="Calibri" w:hAnsi="Calibri"/>
          <w:b w:val="0"/>
          <w:i w:val="0"/>
          <w:sz w:val="22"/>
        </w:rPr>
        <w:t xml:space="preserve"> Yellow flag (handle through legal, not valuation).</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flag the misclassification, route it to the legal review during the External phase, and structure indemnification language into the purchase agreement. We do not haircut the cash flow for it.</w:t>
      </w:r>
    </w:p>
    <w:p>
      <w:pPr>
        <w:spacing w:after="120"/>
      </w:pPr>
      <w:r>
        <w:rPr>
          <w:rFonts w:ascii="Calibri" w:hAnsi="Calibri"/>
          <w:b/>
          <w:i w:val="0"/>
          <w:sz w:val="22"/>
          <w:u w:val="none"/>
        </w:rPr>
        <w:t>Cash Payments and Cash Payroll</w:t>
      </w:r>
    </w:p>
    <w:p>
      <w:pPr>
        <w:pStyle w:val="ListBullet"/>
        <w:spacing w:after="60"/>
        <w:ind w:left="432"/>
      </w:pPr>
      <w:r>
        <w:rPr>
          <w:rFonts w:ascii="Calibri" w:hAnsi="Calibri"/>
          <w:b/>
          <w:i w:val="0"/>
          <w:sz w:val="22"/>
        </w:rPr>
        <w:t>What it is:</w:t>
      </w:r>
      <w:r>
        <w:rPr>
          <w:rFonts w:ascii="Calibri" w:hAnsi="Calibri"/>
          <w:b w:val="0"/>
          <w:i w:val="0"/>
          <w:sz w:val="22"/>
        </w:rPr>
        <w:t xml:space="preserve"> The business takes meaningful cash payments from customers, or pays employees in cash, that may or may not be reported on tax returns.</w:t>
      </w:r>
    </w:p>
    <w:p>
      <w:pPr>
        <w:pStyle w:val="ListBullet"/>
        <w:spacing w:after="60"/>
        <w:ind w:left="432"/>
      </w:pPr>
      <w:r>
        <w:rPr>
          <w:rFonts w:ascii="Calibri" w:hAnsi="Calibri"/>
          <w:b/>
          <w:i w:val="0"/>
          <w:sz w:val="22"/>
        </w:rPr>
        <w:t>Why it matters:</w:t>
      </w:r>
      <w:r>
        <w:rPr>
          <w:rFonts w:ascii="Calibri" w:hAnsi="Calibri"/>
          <w:b w:val="0"/>
          <w:i w:val="0"/>
          <w:sz w:val="22"/>
        </w:rPr>
        <w:t xml:space="preserve"> If the cash is material to the multiple, the deal is dead. The bank cannot underwrite cash that is not on the tax return. If the cash is small enough that you can discount it and the deal still works, the deal can keep moving.</w:t>
      </w:r>
    </w:p>
    <w:p>
      <w:pPr>
        <w:pStyle w:val="ListBullet"/>
        <w:spacing w:after="60"/>
        <w:ind w:left="432"/>
      </w:pPr>
      <w:r>
        <w:rPr>
          <w:rFonts w:ascii="Calibri" w:hAnsi="Calibri"/>
          <w:b/>
          <w:i w:val="0"/>
          <w:sz w:val="22"/>
        </w:rPr>
        <w:t>Severity:</w:t>
      </w:r>
      <w:r>
        <w:rPr>
          <w:rFonts w:ascii="Calibri" w:hAnsi="Calibri"/>
          <w:b w:val="0"/>
          <w:i w:val="0"/>
          <w:sz w:val="22"/>
        </w:rPr>
        <w:t xml:space="preserve"> Red flag if material. Yellow flag if minor and discountable.</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discount cash that is not on the tax return to zero in our underwriting. If the deal falls apart at that point, we walk. If it still works, we proceed.</w:t>
      </w:r>
    </w:p>
    <w:p>
      <w:pPr>
        <w:spacing w:after="120"/>
      </w:pPr>
      <w:r>
        <w:rPr>
          <w:rFonts w:ascii="Calibri" w:hAnsi="Calibri"/>
          <w:b/>
          <w:i w:val="0"/>
          <w:sz w:val="22"/>
          <w:u w:val="none"/>
        </w:rPr>
        <w:t>Factoring Fees</w:t>
      </w:r>
    </w:p>
    <w:p>
      <w:pPr>
        <w:pStyle w:val="ListBullet"/>
        <w:spacing w:after="60"/>
        <w:ind w:left="432"/>
      </w:pPr>
      <w:r>
        <w:rPr>
          <w:rFonts w:ascii="Calibri" w:hAnsi="Calibri"/>
          <w:b/>
          <w:i w:val="0"/>
          <w:sz w:val="22"/>
        </w:rPr>
        <w:t>What it is:</w:t>
      </w:r>
      <w:r>
        <w:rPr>
          <w:rFonts w:ascii="Calibri" w:hAnsi="Calibri"/>
          <w:b w:val="0"/>
          <w:i w:val="0"/>
          <w:sz w:val="22"/>
        </w:rPr>
        <w:t xml:space="preserve"> Fees paid to a factoring company to advance receivables. Sometimes presented as an addback because the new owner could in theory pay them off.</w:t>
      </w:r>
    </w:p>
    <w:p>
      <w:pPr>
        <w:pStyle w:val="ListBullet"/>
        <w:spacing w:after="60"/>
        <w:ind w:left="432"/>
      </w:pPr>
      <w:r>
        <w:rPr>
          <w:rFonts w:ascii="Calibri" w:hAnsi="Calibri"/>
          <w:b/>
          <w:i w:val="0"/>
          <w:sz w:val="22"/>
        </w:rPr>
        <w:t>Why it matters:</w:t>
      </w:r>
      <w:r>
        <w:rPr>
          <w:rFonts w:ascii="Calibri" w:hAnsi="Calibri"/>
          <w:b w:val="0"/>
          <w:i w:val="0"/>
          <w:sz w:val="22"/>
        </w:rPr>
        <w:t xml:space="preserve"> Factoring is an operational cost in most cases. Paying off the factoring line requires capital we are not always assuming the buyer has, and even when they do, the working capital impact is a real cost.</w:t>
      </w:r>
    </w:p>
    <w:p>
      <w:pPr>
        <w:pStyle w:val="ListBullet"/>
        <w:spacing w:after="60"/>
        <w:ind w:left="432"/>
      </w:pPr>
      <w:r>
        <w:rPr>
          <w:rFonts w:ascii="Calibri" w:hAnsi="Calibri"/>
          <w:b/>
          <w:i w:val="0"/>
          <w:sz w:val="22"/>
        </w:rPr>
        <w:t>Severity:</w:t>
      </w:r>
      <w:r>
        <w:rPr>
          <w:rFonts w:ascii="Calibri" w:hAnsi="Calibri"/>
          <w:b w:val="0"/>
          <w:i w:val="0"/>
          <w:sz w:val="22"/>
        </w:rPr>
        <w:t xml:space="preserve"> Red flag if presented as an addback.</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treat factoring fees as cost of operations, not addbacks. If the seller insists on adding them back, we run the underwriting both ways and let the math decide.</w:t>
      </w:r>
    </w:p>
    <w:p>
      <w:pPr>
        <w:pBdr>
          <w:bottom w:val="single" w:sz="6" w:space="1" w:color="C8C8C8"/>
        </w:pBdr>
        <w:spacing w:before="120" w:after="200"/>
      </w:pPr>
    </w:p>
    <w:p>
      <w:pPr>
        <w:keepNext/>
        <w:spacing w:before="200" w:after="80"/>
      </w:pPr>
      <w:r>
        <w:rPr>
          <w:rFonts w:ascii="Calibri" w:hAnsi="Calibri"/>
          <w:b/>
          <w:i w:val="0"/>
          <w:color w:val="0B2E5C"/>
          <w:sz w:val="28"/>
          <w:u w:val="none"/>
        </w:rPr>
        <w:t>Structural Red Flags</w:t>
      </w:r>
    </w:p>
    <w:p>
      <w:pPr>
        <w:spacing w:after="120"/>
      </w:pPr>
      <w:r>
        <w:rPr>
          <w:rFonts w:ascii="Calibri" w:hAnsi="Calibri"/>
          <w:b/>
          <w:i w:val="0"/>
          <w:sz w:val="22"/>
          <w:u w:val="none"/>
        </w:rPr>
        <w:t>Lease Expiring Soon</w:t>
      </w:r>
    </w:p>
    <w:p>
      <w:pPr>
        <w:pStyle w:val="ListBullet"/>
        <w:spacing w:after="60"/>
        <w:ind w:left="432"/>
      </w:pPr>
      <w:r>
        <w:rPr>
          <w:rFonts w:ascii="Calibri" w:hAnsi="Calibri"/>
          <w:b/>
          <w:i w:val="0"/>
          <w:sz w:val="22"/>
        </w:rPr>
        <w:t>What it is:</w:t>
      </w:r>
      <w:r>
        <w:rPr>
          <w:rFonts w:ascii="Calibri" w:hAnsi="Calibri"/>
          <w:b w:val="0"/>
          <w:i w:val="0"/>
          <w:sz w:val="22"/>
        </w:rPr>
        <w:t xml:space="preserve"> The commercial lease expires within 12-24 months and there is no renewal option, or renewal terms are unknown.</w:t>
      </w:r>
    </w:p>
    <w:p>
      <w:pPr>
        <w:pStyle w:val="ListBullet"/>
        <w:spacing w:after="60"/>
        <w:ind w:left="432"/>
      </w:pPr>
      <w:r>
        <w:rPr>
          <w:rFonts w:ascii="Calibri" w:hAnsi="Calibri"/>
          <w:b/>
          <w:i w:val="0"/>
          <w:sz w:val="22"/>
        </w:rPr>
        <w:t>Why it matters:</w:t>
      </w:r>
      <w:r>
        <w:rPr>
          <w:rFonts w:ascii="Calibri" w:hAnsi="Calibri"/>
          <w:b w:val="0"/>
          <w:i w:val="0"/>
          <w:sz w:val="22"/>
        </w:rPr>
        <w:t xml:space="preserve"> If the lease expires and the landlord does not renew or raises rent significantly, the business may need to relocate. Relocation can cost tens of thousands of dollars and you risk losing customers. SBA lenders also require lease terms that cover at least the loan period or have renewal options.</w:t>
      </w:r>
    </w:p>
    <w:p>
      <w:pPr>
        <w:pStyle w:val="ListBullet"/>
        <w:spacing w:after="60"/>
        <w:ind w:left="432"/>
      </w:pPr>
      <w:r>
        <w:rPr>
          <w:rFonts w:ascii="Calibri" w:hAnsi="Calibri"/>
          <w:b/>
          <w:i w:val="0"/>
          <w:sz w:val="22"/>
        </w:rPr>
        <w:t>Severity:</w:t>
      </w:r>
      <w:r>
        <w:rPr>
          <w:rFonts w:ascii="Calibri" w:hAnsi="Calibri"/>
          <w:b w:val="0"/>
          <w:i w:val="0"/>
          <w:sz w:val="22"/>
        </w:rPr>
        <w:t xml:space="preserve"> Red flag. A lease expiring without clear renewal terms can kill SBA financing entirely.</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verify lease terms early in the Internal phase. If the lease is short, we require landlord confirmation of renewal willingness and terms before moving forward. Every LOI includes a landlord consent contingency.</w:t>
      </w:r>
    </w:p>
    <w:p>
      <w:pPr>
        <w:spacing w:after="120"/>
      </w:pPr>
      <w:r>
        <w:rPr>
          <w:rFonts w:ascii="Calibri" w:hAnsi="Calibri"/>
          <w:b/>
          <w:i w:val="0"/>
          <w:sz w:val="22"/>
          <w:u w:val="none"/>
        </w:rPr>
        <w:t>Key Employee Risk</w:t>
      </w:r>
    </w:p>
    <w:p>
      <w:pPr>
        <w:pStyle w:val="ListBullet"/>
        <w:spacing w:after="60"/>
        <w:ind w:left="432"/>
      </w:pPr>
      <w:r>
        <w:rPr>
          <w:rFonts w:ascii="Calibri" w:hAnsi="Calibri"/>
          <w:b/>
          <w:i w:val="0"/>
          <w:sz w:val="22"/>
        </w:rPr>
        <w:t>What it is:</w:t>
      </w:r>
      <w:r>
        <w:rPr>
          <w:rFonts w:ascii="Calibri" w:hAnsi="Calibri"/>
          <w:b w:val="0"/>
          <w:i w:val="0"/>
          <w:sz w:val="22"/>
        </w:rPr>
        <w:t xml:space="preserve"> The business depends heavily on one or two employees who hold critical relationships, skills, or licenses. If they leave, the business cannot operate at the same level.</w:t>
      </w:r>
    </w:p>
    <w:p>
      <w:pPr>
        <w:pStyle w:val="ListBullet"/>
        <w:spacing w:after="60"/>
        <w:ind w:left="432"/>
      </w:pPr>
      <w:r>
        <w:rPr>
          <w:rFonts w:ascii="Calibri" w:hAnsi="Calibri"/>
          <w:b/>
          <w:i w:val="0"/>
          <w:sz w:val="22"/>
        </w:rPr>
        <w:t>Why it matters:</w:t>
      </w:r>
      <w:r>
        <w:rPr>
          <w:rFonts w:ascii="Calibri" w:hAnsi="Calibri"/>
          <w:b w:val="0"/>
          <w:i w:val="0"/>
          <w:sz w:val="22"/>
        </w:rPr>
        <w:t xml:space="preserve"> Key employees have no obligation to stay after a sale. If the top salesperson generates 40% of revenue and walks, your cash flow collapses. If the licensed technician leaves and you cannot replace them, you cannot operate.</w:t>
      </w:r>
    </w:p>
    <w:p>
      <w:pPr>
        <w:pStyle w:val="ListBullet"/>
        <w:spacing w:after="60"/>
        <w:ind w:left="432"/>
      </w:pPr>
      <w:r>
        <w:rPr>
          <w:rFonts w:ascii="Calibri" w:hAnsi="Calibri"/>
          <w:b/>
          <w:i w:val="0"/>
          <w:sz w:val="22"/>
        </w:rPr>
        <w:t>Severity:</w:t>
      </w:r>
      <w:r>
        <w:rPr>
          <w:rFonts w:ascii="Calibri" w:hAnsi="Calibri"/>
          <w:b w:val="0"/>
          <w:i w:val="0"/>
          <w:sz w:val="22"/>
        </w:rPr>
        <w:t xml:space="preserve"> Yellow flag if the key employees are aware of the sale and have indicated willingness to stay. Red flag if they do not know about the sale yet. Walk-away if they tell you directly they plan to leave.</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identify key employees early. We include key employee retention as a contingency in every LOI. During the Internal phase, we assess whether the key employees are likely to stay.</w:t>
      </w:r>
    </w:p>
    <w:p>
      <w:pPr>
        <w:spacing w:after="120"/>
      </w:pPr>
      <w:r>
        <w:rPr>
          <w:rFonts w:ascii="Calibri" w:hAnsi="Calibri"/>
          <w:b/>
          <w:i w:val="0"/>
          <w:sz w:val="22"/>
          <w:u w:val="none"/>
        </w:rPr>
        <w:t>Owner IS the Business</w:t>
      </w:r>
    </w:p>
    <w:p>
      <w:pPr>
        <w:pStyle w:val="ListBullet"/>
        <w:spacing w:after="60"/>
        <w:ind w:left="432"/>
      </w:pPr>
      <w:r>
        <w:rPr>
          <w:rFonts w:ascii="Calibri" w:hAnsi="Calibri"/>
          <w:b/>
          <w:i w:val="0"/>
          <w:sz w:val="22"/>
        </w:rPr>
        <w:t>What it is:</w:t>
      </w:r>
      <w:r>
        <w:rPr>
          <w:rFonts w:ascii="Calibri" w:hAnsi="Calibri"/>
          <w:b w:val="0"/>
          <w:i w:val="0"/>
          <w:sz w:val="22"/>
        </w:rPr>
        <w:t xml:space="preserve"> The owner is the primary salesperson, the primary customer relationship holder, and the primary operator all rolled into one. Their personal reputation, relationships, and skills ARE the business.</w:t>
      </w:r>
    </w:p>
    <w:p>
      <w:pPr>
        <w:pStyle w:val="ListBullet"/>
        <w:spacing w:after="60"/>
        <w:ind w:left="432"/>
      </w:pPr>
      <w:r>
        <w:rPr>
          <w:rFonts w:ascii="Calibri" w:hAnsi="Calibri"/>
          <w:b/>
          <w:i w:val="0"/>
          <w:sz w:val="22"/>
        </w:rPr>
        <w:t>Why it matters:</w:t>
      </w:r>
      <w:r>
        <w:rPr>
          <w:rFonts w:ascii="Calibri" w:hAnsi="Calibri"/>
          <w:b w:val="0"/>
          <w:i w:val="0"/>
          <w:sz w:val="22"/>
        </w:rPr>
        <w:t xml:space="preserve"> When the owner leaves, the business value walks out the door with them. Customers came because of the owner. Referrals came because of the owner. The business has no systems, no brand, and no infrastructure independent of one person.</w:t>
      </w:r>
    </w:p>
    <w:p>
      <w:pPr>
        <w:pStyle w:val="ListBullet"/>
        <w:spacing w:after="60"/>
        <w:ind w:left="432"/>
      </w:pPr>
      <w:r>
        <w:rPr>
          <w:rFonts w:ascii="Calibri" w:hAnsi="Calibri"/>
          <w:b/>
          <w:i w:val="0"/>
          <w:sz w:val="22"/>
        </w:rPr>
        <w:t>Severity:</w:t>
      </w:r>
      <w:r>
        <w:rPr>
          <w:rFonts w:ascii="Calibri" w:hAnsi="Calibri"/>
          <w:b w:val="0"/>
          <w:i w:val="0"/>
          <w:sz w:val="22"/>
        </w:rPr>
        <w:t xml:space="preserve"> Red flag. This is one of the most common deal killers. If the owner is doing six different jobs, you need to replace six different jobs. The real cost of operation is much higher than the financials suggest.</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assess operator dependency on every deal. If the owner wears multiple hats (sales, operations, management), we deduct replacement costs for each role. If we need to hire a salesperson at 8% commission on $2M revenue, that is $160K in costs the current financials do not reflect.</w:t>
      </w:r>
    </w:p>
    <w:p>
      <w:pPr>
        <w:pBdr>
          <w:bottom w:val="single" w:sz="6" w:space="1" w:color="C8C8C8"/>
        </w:pBdr>
        <w:spacing w:before="120" w:after="200"/>
      </w:pPr>
    </w:p>
    <w:p>
      <w:pPr>
        <w:keepNext/>
        <w:spacing w:before="200" w:after="80"/>
      </w:pPr>
      <w:r>
        <w:rPr>
          <w:rFonts w:ascii="Calibri" w:hAnsi="Calibri"/>
          <w:b/>
          <w:i w:val="0"/>
          <w:color w:val="0B2E5C"/>
          <w:sz w:val="28"/>
          <w:u w:val="none"/>
        </w:rPr>
        <w:t>Going Beyond the Paper</w:t>
      </w:r>
    </w:p>
    <w:p>
      <w:pPr>
        <w:spacing w:after="120"/>
      </w:pPr>
      <w:r>
        <w:rPr>
          <w:rFonts w:ascii="Calibri" w:hAnsi="Calibri"/>
          <w:b w:val="0"/>
          <w:i w:val="0"/>
          <w:sz w:val="22"/>
          <w:u w:val="none"/>
        </w:rPr>
        <w:t>The Internal phase also includes talking to the seller directly, visiting the business, speaking with employees, and assessing the operation in person. This still costs you nothing in professional fees. The goal is to verify that what the paper says matches reality.</w:t>
      </w:r>
    </w:p>
    <w:p>
      <w:pPr>
        <w:keepNext/>
        <w:spacing w:before="200" w:after="80"/>
      </w:pPr>
      <w:r>
        <w:rPr>
          <w:rFonts w:ascii="Calibri" w:hAnsi="Calibri"/>
          <w:b/>
          <w:i w:val="0"/>
          <w:color w:val="0B2E5C"/>
          <w:sz w:val="28"/>
          <w:u w:val="none"/>
        </w:rPr>
        <w:t>Seller Behavior Red Flags</w:t>
      </w:r>
    </w:p>
    <w:p>
      <w:pPr>
        <w:spacing w:after="120"/>
      </w:pPr>
      <w:r>
        <w:rPr>
          <w:rFonts w:ascii="Calibri" w:hAnsi="Calibri"/>
          <w:b/>
          <w:i w:val="0"/>
          <w:sz w:val="22"/>
          <w:u w:val="none"/>
        </w:rPr>
        <w:t>Evasive Answers</w:t>
      </w:r>
    </w:p>
    <w:p>
      <w:pPr>
        <w:pStyle w:val="ListBullet"/>
        <w:spacing w:after="60"/>
        <w:ind w:left="432"/>
      </w:pPr>
      <w:r>
        <w:rPr>
          <w:rFonts w:ascii="Calibri" w:hAnsi="Calibri"/>
          <w:b/>
          <w:i w:val="0"/>
          <w:sz w:val="22"/>
        </w:rPr>
        <w:t>What it is:</w:t>
      </w:r>
      <w:r>
        <w:rPr>
          <w:rFonts w:ascii="Calibri" w:hAnsi="Calibri"/>
          <w:b w:val="0"/>
          <w:i w:val="0"/>
          <w:sz w:val="22"/>
        </w:rPr>
        <w:t xml:space="preserve"> The seller avoids direct questions about financials, operations, customers, or reasons for selling. They give vague answers, redirect conversations, or refuse to provide specifics.</w:t>
      </w:r>
    </w:p>
    <w:p>
      <w:pPr>
        <w:pStyle w:val="ListBullet"/>
        <w:spacing w:after="60"/>
        <w:ind w:left="432"/>
      </w:pPr>
      <w:r>
        <w:rPr>
          <w:rFonts w:ascii="Calibri" w:hAnsi="Calibri"/>
          <w:b/>
          <w:i w:val="0"/>
          <w:sz w:val="22"/>
        </w:rPr>
        <w:t>Why it matters:</w:t>
      </w:r>
      <w:r>
        <w:rPr>
          <w:rFonts w:ascii="Calibri" w:hAnsi="Calibri"/>
          <w:b w:val="0"/>
          <w:i w:val="0"/>
          <w:sz w:val="22"/>
        </w:rPr>
        <w:t xml:space="preserve"> Sellers who are confident in their business answer questions directly. Evasiveness usually means there is something they do not want you to find. It could be declining performance, hidden liabilities, or misrepresented financials.</w:t>
      </w:r>
    </w:p>
    <w:p>
      <w:pPr>
        <w:pStyle w:val="ListBullet"/>
        <w:spacing w:after="60"/>
        <w:ind w:left="432"/>
      </w:pPr>
      <w:r>
        <w:rPr>
          <w:rFonts w:ascii="Calibri" w:hAnsi="Calibri"/>
          <w:b/>
          <w:i w:val="0"/>
          <w:sz w:val="22"/>
        </w:rPr>
        <w:t>Severity:</w:t>
      </w:r>
      <w:r>
        <w:rPr>
          <w:rFonts w:ascii="Calibri" w:hAnsi="Calibri"/>
          <w:b w:val="0"/>
          <w:i w:val="0"/>
          <w:sz w:val="22"/>
        </w:rPr>
        <w:t xml:space="preserve"> Yellow flag if limited to one or two topics. Red flag if it is a pattern across multiple areas. Walk-away if combined with document refusal.</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track every question asked and whether it was answered directly. We follow up in writing. If a pattern of evasion emerges, we flag it as a structural concern.</w:t>
      </w:r>
    </w:p>
    <w:p>
      <w:pPr>
        <w:spacing w:after="120"/>
      </w:pPr>
      <w:r>
        <w:rPr>
          <w:rFonts w:ascii="Calibri" w:hAnsi="Calibri"/>
          <w:b/>
          <w:i w:val="0"/>
          <w:sz w:val="22"/>
          <w:u w:val="none"/>
        </w:rPr>
        <w:t>Reluctance to Provide Documents</w:t>
      </w:r>
    </w:p>
    <w:p>
      <w:pPr>
        <w:pStyle w:val="ListBullet"/>
        <w:spacing w:after="60"/>
        <w:ind w:left="432"/>
      </w:pPr>
      <w:r>
        <w:rPr>
          <w:rFonts w:ascii="Calibri" w:hAnsi="Calibri"/>
          <w:b/>
          <w:i w:val="0"/>
          <w:sz w:val="22"/>
        </w:rPr>
        <w:t>What it is:</w:t>
      </w:r>
      <w:r>
        <w:rPr>
          <w:rFonts w:ascii="Calibri" w:hAnsi="Calibri"/>
          <w:b w:val="0"/>
          <w:i w:val="0"/>
          <w:sz w:val="22"/>
        </w:rPr>
        <w:t xml:space="preserve"> The seller delays, stalls, or outright refuses to provide requested financial documents, employee records, customer lists, or contracts.</w:t>
      </w:r>
    </w:p>
    <w:p>
      <w:pPr>
        <w:pStyle w:val="ListBullet"/>
        <w:spacing w:after="60"/>
        <w:ind w:left="432"/>
      </w:pPr>
      <w:r>
        <w:rPr>
          <w:rFonts w:ascii="Calibri" w:hAnsi="Calibri"/>
          <w:b/>
          <w:i w:val="0"/>
          <w:sz w:val="22"/>
        </w:rPr>
        <w:t>Why it matters:</w:t>
      </w:r>
      <w:r>
        <w:rPr>
          <w:rFonts w:ascii="Calibri" w:hAnsi="Calibri"/>
          <w:b w:val="0"/>
          <w:i w:val="0"/>
          <w:sz w:val="22"/>
        </w:rPr>
        <w:t xml:space="preserve"> Every day the seller delays adds one day to the timeline. That is a 1:1 ratio. But more importantly, reluctance to share documents usually means the documents contain something the seller does not want you to see.</w:t>
      </w:r>
    </w:p>
    <w:p>
      <w:pPr>
        <w:pStyle w:val="ListBullet"/>
        <w:spacing w:after="60"/>
        <w:ind w:left="432"/>
      </w:pPr>
      <w:r>
        <w:rPr>
          <w:rFonts w:ascii="Calibri" w:hAnsi="Calibri"/>
          <w:b/>
          <w:i w:val="0"/>
          <w:sz w:val="22"/>
        </w:rPr>
        <w:t>Severity:</w:t>
      </w:r>
      <w:r>
        <w:rPr>
          <w:rFonts w:ascii="Calibri" w:hAnsi="Calibri"/>
          <w:b w:val="0"/>
          <w:i w:val="0"/>
          <w:sz w:val="22"/>
        </w:rPr>
        <w:t xml:space="preserve"> Red flag. Walk-away if the seller refuses to provide tax returns, bank statements, or access to key operational data after reasonable requests.</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set clear document request timelines in the LOI. We escalate through the broker if needed. We do not extend DD timelines indefinitely for seller delays.</w:t>
      </w:r>
    </w:p>
    <w:p>
      <w:pPr>
        <w:spacing w:after="120"/>
      </w:pPr>
      <w:r>
        <w:rPr>
          <w:rFonts w:ascii="Calibri" w:hAnsi="Calibri"/>
          <w:b/>
          <w:i w:val="0"/>
          <w:sz w:val="22"/>
          <w:u w:val="none"/>
        </w:rPr>
        <w:t>Changing Stories</w:t>
      </w:r>
    </w:p>
    <w:p>
      <w:pPr>
        <w:pStyle w:val="ListBullet"/>
        <w:spacing w:after="60"/>
        <w:ind w:left="432"/>
      </w:pPr>
      <w:r>
        <w:rPr>
          <w:rFonts w:ascii="Calibri" w:hAnsi="Calibri"/>
          <w:b/>
          <w:i w:val="0"/>
          <w:sz w:val="22"/>
        </w:rPr>
        <w:t>What it is:</w:t>
      </w:r>
      <w:r>
        <w:rPr>
          <w:rFonts w:ascii="Calibri" w:hAnsi="Calibri"/>
          <w:b w:val="0"/>
          <w:i w:val="0"/>
          <w:sz w:val="22"/>
        </w:rPr>
        <w:t xml:space="preserve"> The seller's explanation of business performance, reasons for selling, or key operational details changes between conversations or contradicts earlier statements.</w:t>
      </w:r>
    </w:p>
    <w:p>
      <w:pPr>
        <w:pStyle w:val="ListBullet"/>
        <w:spacing w:after="60"/>
        <w:ind w:left="432"/>
      </w:pPr>
      <w:r>
        <w:rPr>
          <w:rFonts w:ascii="Calibri" w:hAnsi="Calibri"/>
          <w:b/>
          <w:i w:val="0"/>
          <w:sz w:val="22"/>
        </w:rPr>
        <w:t>Why it matters:</w:t>
      </w:r>
      <w:r>
        <w:rPr>
          <w:rFonts w:ascii="Calibri" w:hAnsi="Calibri"/>
          <w:b w:val="0"/>
          <w:i w:val="0"/>
          <w:sz w:val="22"/>
        </w:rPr>
        <w:t xml:space="preserve"> If they misrepresented one thing, assume they misrepresented more. Consistency matters. A seller who tells the broker one story, tells you another on the first call, and changes it again on the second call is not someone you can trust through a transition.</w:t>
      </w:r>
    </w:p>
    <w:p>
      <w:pPr>
        <w:pStyle w:val="ListBullet"/>
        <w:spacing w:after="60"/>
        <w:ind w:left="432"/>
      </w:pPr>
      <w:r>
        <w:rPr>
          <w:rFonts w:ascii="Calibri" w:hAnsi="Calibri"/>
          <w:b/>
          <w:i w:val="0"/>
          <w:sz w:val="22"/>
        </w:rPr>
        <w:t>Severity:</w:t>
      </w:r>
      <w:r>
        <w:rPr>
          <w:rFonts w:ascii="Calibri" w:hAnsi="Calibri"/>
          <w:b w:val="0"/>
          <w:i w:val="0"/>
          <w:sz w:val="22"/>
        </w:rPr>
        <w:t xml:space="preserve"> Walk-away. Seller dishonesty of any kind is a hard stop.</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document every seller statement. We compare notes across calls. If stories change, we walk. No exceptions.</w:t>
      </w:r>
    </w:p>
    <w:p>
      <w:pPr>
        <w:spacing w:after="120"/>
      </w:pPr>
      <w:r>
        <w:rPr>
          <w:rFonts w:ascii="Calibri" w:hAnsi="Calibri"/>
          <w:b/>
          <w:i w:val="0"/>
          <w:sz w:val="22"/>
          <w:u w:val="none"/>
        </w:rPr>
        <w:t>"Reason for Selling" Does Not Match Business Performance</w:t>
      </w:r>
    </w:p>
    <w:p>
      <w:pPr>
        <w:pStyle w:val="ListBullet"/>
        <w:spacing w:after="60"/>
        <w:ind w:left="432"/>
      </w:pPr>
      <w:r>
        <w:rPr>
          <w:rFonts w:ascii="Calibri" w:hAnsi="Calibri"/>
          <w:b/>
          <w:i w:val="0"/>
          <w:sz w:val="22"/>
        </w:rPr>
        <w:t>What it is:</w:t>
      </w:r>
      <w:r>
        <w:rPr>
          <w:rFonts w:ascii="Calibri" w:hAnsi="Calibri"/>
          <w:b w:val="0"/>
          <w:i w:val="0"/>
          <w:sz w:val="22"/>
        </w:rPr>
        <w:t xml:space="preserve"> The seller says they are retiring or pursuing other interests, but the business is showing signs of decline that suggest a different motivation. Or the seller claims the business is thriving but wants out urgently.</w:t>
      </w:r>
    </w:p>
    <w:p>
      <w:pPr>
        <w:pStyle w:val="ListBullet"/>
        <w:spacing w:after="60"/>
        <w:ind w:left="432"/>
      </w:pPr>
      <w:r>
        <w:rPr>
          <w:rFonts w:ascii="Calibri" w:hAnsi="Calibri"/>
          <w:b/>
          <w:i w:val="0"/>
          <w:sz w:val="22"/>
        </w:rPr>
        <w:t>Why it matters:</w:t>
      </w:r>
      <w:r>
        <w:rPr>
          <w:rFonts w:ascii="Calibri" w:hAnsi="Calibri"/>
          <w:b w:val="0"/>
          <w:i w:val="0"/>
          <w:sz w:val="22"/>
        </w:rPr>
        <w:t xml:space="preserve"> The real reason for selling shapes everything about the deal. A seller who is truly retiring from a healthy business behaves differently than a seller who is trying to exit before problems become visible.</w:t>
      </w:r>
    </w:p>
    <w:p>
      <w:pPr>
        <w:pStyle w:val="ListBullet"/>
        <w:spacing w:after="60"/>
        <w:ind w:left="432"/>
      </w:pPr>
      <w:r>
        <w:rPr>
          <w:rFonts w:ascii="Calibri" w:hAnsi="Calibri"/>
          <w:b/>
          <w:i w:val="0"/>
          <w:sz w:val="22"/>
        </w:rPr>
        <w:t>Severity:</w:t>
      </w:r>
      <w:r>
        <w:rPr>
          <w:rFonts w:ascii="Calibri" w:hAnsi="Calibri"/>
          <w:b w:val="0"/>
          <w:i w:val="0"/>
          <w:sz w:val="22"/>
        </w:rPr>
        <w:t xml:space="preserve"> Yellow flag. Worth investigating deeper but not a walk-away on its own.</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cross-reference the stated reason for selling with the financial trajectory. If we see continuous growth followed by year-to-date stagnation, we know we are likely walking into a 20-30% drop. We price accordingly.</w:t>
      </w:r>
    </w:p>
    <w:p>
      <w:pPr>
        <w:keepNext/>
        <w:spacing w:before="200" w:after="80"/>
      </w:pPr>
      <w:r>
        <w:rPr>
          <w:rFonts w:ascii="Calibri" w:hAnsi="Calibri"/>
          <w:b/>
          <w:i w:val="0"/>
          <w:color w:val="0B2E5C"/>
          <w:sz w:val="28"/>
          <w:u w:val="none"/>
        </w:rPr>
        <w:t>Operational Red Flags</w:t>
      </w:r>
    </w:p>
    <w:p>
      <w:pPr>
        <w:spacing w:after="120"/>
      </w:pPr>
      <w:r>
        <w:rPr>
          <w:rFonts w:ascii="Calibri" w:hAnsi="Calibri"/>
          <w:b/>
          <w:i w:val="0"/>
          <w:sz w:val="22"/>
          <w:u w:val="none"/>
        </w:rPr>
        <w:t>Deferred Maintenance</w:t>
      </w:r>
    </w:p>
    <w:p>
      <w:pPr>
        <w:pStyle w:val="ListBullet"/>
        <w:spacing w:after="60"/>
        <w:ind w:left="432"/>
      </w:pPr>
      <w:r>
        <w:rPr>
          <w:rFonts w:ascii="Calibri" w:hAnsi="Calibri"/>
          <w:b/>
          <w:i w:val="0"/>
          <w:sz w:val="22"/>
        </w:rPr>
        <w:t>What it is:</w:t>
      </w:r>
      <w:r>
        <w:rPr>
          <w:rFonts w:ascii="Calibri" w:hAnsi="Calibri"/>
          <w:b w:val="0"/>
          <w:i w:val="0"/>
          <w:sz w:val="22"/>
        </w:rPr>
        <w:t xml:space="preserve"> Equipment is old, facilities need repair, vehicles are aging, or infrastructure has been neglected. The seller has been deferring capital expenditures to inflate short-term cash flow.</w:t>
      </w:r>
    </w:p>
    <w:p>
      <w:pPr>
        <w:pStyle w:val="ListBullet"/>
        <w:spacing w:after="60"/>
        <w:ind w:left="432"/>
      </w:pPr>
      <w:r>
        <w:rPr>
          <w:rFonts w:ascii="Calibri" w:hAnsi="Calibri"/>
          <w:b/>
          <w:i w:val="0"/>
          <w:sz w:val="22"/>
        </w:rPr>
        <w:t>Why it matters:</w:t>
      </w:r>
      <w:r>
        <w:rPr>
          <w:rFonts w:ascii="Calibri" w:hAnsi="Calibri"/>
          <w:b w:val="0"/>
          <w:i w:val="0"/>
          <w:sz w:val="22"/>
        </w:rPr>
        <w:t xml:space="preserve"> That deferred maintenance becomes your problem on day one. If the equipment is old and needs replacing, that $100K in capital expenditures over the next two years means the addback for depreciation just masked a real future cost.</w:t>
      </w:r>
    </w:p>
    <w:p>
      <w:pPr>
        <w:pStyle w:val="ListBullet"/>
        <w:spacing w:after="60"/>
        <w:ind w:left="432"/>
      </w:pPr>
      <w:r>
        <w:rPr>
          <w:rFonts w:ascii="Calibri" w:hAnsi="Calibri"/>
          <w:b/>
          <w:i w:val="0"/>
          <w:sz w:val="22"/>
        </w:rPr>
        <w:t>Severity:</w:t>
      </w:r>
      <w:r>
        <w:rPr>
          <w:rFonts w:ascii="Calibri" w:hAnsi="Calibri"/>
          <w:b w:val="0"/>
          <w:i w:val="0"/>
          <w:sz w:val="22"/>
        </w:rPr>
        <w:t xml:space="preserve"> Yellow flag if quantifiable and the deal can be repriced. Red flag if the capital expenditure requirements are massive and not reflected in the valuation.</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assess physical assets during site visits. We estimate replacement costs and timeline. We factor deferred maintenance into the purchase price negotiation.</w:t>
      </w:r>
    </w:p>
    <w:p>
      <w:pPr>
        <w:spacing w:after="120"/>
      </w:pPr>
      <w:r>
        <w:rPr>
          <w:rFonts w:ascii="Calibri" w:hAnsi="Calibri"/>
          <w:b/>
          <w:i w:val="0"/>
          <w:sz w:val="22"/>
          <w:u w:val="none"/>
        </w:rPr>
        <w:t>Employee Turnover</w:t>
      </w:r>
    </w:p>
    <w:p>
      <w:pPr>
        <w:pStyle w:val="ListBullet"/>
        <w:spacing w:after="60"/>
        <w:ind w:left="432"/>
      </w:pPr>
      <w:r>
        <w:rPr>
          <w:rFonts w:ascii="Calibri" w:hAnsi="Calibri"/>
          <w:b/>
          <w:i w:val="0"/>
          <w:sz w:val="22"/>
        </w:rPr>
        <w:t>What it is:</w:t>
      </w:r>
      <w:r>
        <w:rPr>
          <w:rFonts w:ascii="Calibri" w:hAnsi="Calibri"/>
          <w:b w:val="0"/>
          <w:i w:val="0"/>
          <w:sz w:val="22"/>
        </w:rPr>
        <w:t xml:space="preserve"> The business has experienced significant employee departures in the past 12-24 months. Positions are chronically unfilled. The team is smaller than it should be for the revenue level.</w:t>
      </w:r>
    </w:p>
    <w:p>
      <w:pPr>
        <w:pStyle w:val="ListBullet"/>
        <w:spacing w:after="60"/>
        <w:ind w:left="432"/>
      </w:pPr>
      <w:r>
        <w:rPr>
          <w:rFonts w:ascii="Calibri" w:hAnsi="Calibri"/>
          <w:b/>
          <w:i w:val="0"/>
          <w:sz w:val="22"/>
        </w:rPr>
        <w:t>Why it matters:</w:t>
      </w:r>
      <w:r>
        <w:rPr>
          <w:rFonts w:ascii="Calibri" w:hAnsi="Calibri"/>
          <w:b w:val="0"/>
          <w:i w:val="0"/>
          <w:sz w:val="22"/>
        </w:rPr>
        <w:t xml:space="preserve"> High turnover signals management problems, compensation issues, or a toxic work environment. It also means institutional knowledge is walking out the door. Replacing employees costs money and time that will come out of your cash flow.</w:t>
      </w:r>
    </w:p>
    <w:p>
      <w:pPr>
        <w:pStyle w:val="ListBullet"/>
        <w:spacing w:after="60"/>
        <w:ind w:left="432"/>
      </w:pPr>
      <w:r>
        <w:rPr>
          <w:rFonts w:ascii="Calibri" w:hAnsi="Calibri"/>
          <w:b/>
          <w:i w:val="0"/>
          <w:sz w:val="22"/>
        </w:rPr>
        <w:t>Severity:</w:t>
      </w:r>
      <w:r>
        <w:rPr>
          <w:rFonts w:ascii="Calibri" w:hAnsi="Calibri"/>
          <w:b w:val="0"/>
          <w:i w:val="0"/>
          <w:sz w:val="22"/>
        </w:rPr>
        <w:t xml:space="preserve"> Yellow flag if turnover is in non-critical roles. Red flag if key employees have recently left or if turnover is chronic.</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ask about staffing history during seller calls. During site visits, we observe team dynamics. We factor hiring and training costs into our cash flow projections.</w:t>
      </w:r>
    </w:p>
    <w:p>
      <w:pPr>
        <w:spacing w:after="120"/>
      </w:pPr>
      <w:r>
        <w:rPr>
          <w:rFonts w:ascii="Calibri" w:hAnsi="Calibri"/>
          <w:b/>
          <w:i w:val="0"/>
          <w:sz w:val="22"/>
          <w:u w:val="none"/>
        </w:rPr>
        <w:t>Customer Complaints or Declining Satisfaction</w:t>
      </w:r>
    </w:p>
    <w:p>
      <w:pPr>
        <w:pStyle w:val="ListBullet"/>
        <w:spacing w:after="60"/>
        <w:ind w:left="432"/>
      </w:pPr>
      <w:r>
        <w:rPr>
          <w:rFonts w:ascii="Calibri" w:hAnsi="Calibri"/>
          <w:b/>
          <w:i w:val="0"/>
          <w:sz w:val="22"/>
        </w:rPr>
        <w:t>What it is:</w:t>
      </w:r>
      <w:r>
        <w:rPr>
          <w:rFonts w:ascii="Calibri" w:hAnsi="Calibri"/>
          <w:b w:val="0"/>
          <w:i w:val="0"/>
          <w:sz w:val="22"/>
        </w:rPr>
        <w:t xml:space="preserve"> The business has a pattern of customer complaints, negative reviews, or declining customer satisfaction scores. Repeat business is decreasing. The customer base is shrinking.</w:t>
      </w:r>
    </w:p>
    <w:p>
      <w:pPr>
        <w:pStyle w:val="ListBullet"/>
        <w:spacing w:after="60"/>
        <w:ind w:left="432"/>
      </w:pPr>
      <w:r>
        <w:rPr>
          <w:rFonts w:ascii="Calibri" w:hAnsi="Calibri"/>
          <w:b/>
          <w:i w:val="0"/>
          <w:sz w:val="22"/>
        </w:rPr>
        <w:t>Why it matters:</w:t>
      </w:r>
      <w:r>
        <w:rPr>
          <w:rFonts w:ascii="Calibri" w:hAnsi="Calibri"/>
          <w:b w:val="0"/>
          <w:i w:val="0"/>
          <w:sz w:val="22"/>
        </w:rPr>
        <w:t xml:space="preserve"> Customers are the revenue. If they are unhappy or leaving, revenue will follow. Turning around a reputation problem takes time and money, and there is no guarantee it works.</w:t>
      </w:r>
    </w:p>
    <w:p>
      <w:pPr>
        <w:pStyle w:val="ListBullet"/>
        <w:spacing w:after="60"/>
        <w:ind w:left="432"/>
      </w:pPr>
      <w:r>
        <w:rPr>
          <w:rFonts w:ascii="Calibri" w:hAnsi="Calibri"/>
          <w:b/>
          <w:i w:val="0"/>
          <w:sz w:val="22"/>
        </w:rPr>
        <w:t>Severity:</w:t>
      </w:r>
      <w:r>
        <w:rPr>
          <w:rFonts w:ascii="Calibri" w:hAnsi="Calibri"/>
          <w:b w:val="0"/>
          <w:i w:val="0"/>
          <w:sz w:val="22"/>
        </w:rPr>
        <w:t xml:space="preserve"> Yellow flag if isolated incidents. Red flag if it is a pattern. Walk-away if combined with declining revenue.</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review online reviews, customer retention data, and complaint history. We assess whether the issues are fixable or systemic.</w:t>
      </w:r>
    </w:p>
    <w:p>
      <w:pPr>
        <w:spacing w:after="120"/>
      </w:pPr>
      <w:r>
        <w:rPr>
          <w:rFonts w:ascii="Calibri" w:hAnsi="Calibri"/>
          <w:b/>
          <w:i w:val="0"/>
          <w:sz w:val="22"/>
          <w:u w:val="none"/>
        </w:rPr>
        <w:t>Employees Know About the Sale</w:t>
      </w:r>
    </w:p>
    <w:p>
      <w:pPr>
        <w:pStyle w:val="ListBullet"/>
        <w:spacing w:after="60"/>
        <w:ind w:left="432"/>
      </w:pPr>
      <w:r>
        <w:rPr>
          <w:rFonts w:ascii="Calibri" w:hAnsi="Calibri"/>
          <w:b/>
          <w:i w:val="0"/>
          <w:sz w:val="22"/>
        </w:rPr>
        <w:t>What it is:</w:t>
      </w:r>
      <w:r>
        <w:rPr>
          <w:rFonts w:ascii="Calibri" w:hAnsi="Calibri"/>
          <w:b w:val="0"/>
          <w:i w:val="0"/>
          <w:sz w:val="22"/>
        </w:rPr>
        <w:t xml:space="preserve"> The employees are already aware that the business is for sale.</w:t>
      </w:r>
    </w:p>
    <w:p>
      <w:pPr>
        <w:pStyle w:val="ListBullet"/>
        <w:spacing w:after="60"/>
        <w:ind w:left="432"/>
      </w:pPr>
      <w:r>
        <w:rPr>
          <w:rFonts w:ascii="Calibri" w:hAnsi="Calibri"/>
          <w:b/>
          <w:i w:val="0"/>
          <w:sz w:val="22"/>
        </w:rPr>
        <w:t>Why it matters:</w:t>
      </w:r>
      <w:r>
        <w:rPr>
          <w:rFonts w:ascii="Calibri" w:hAnsi="Calibri"/>
          <w:b w:val="0"/>
          <w:i w:val="0"/>
          <w:sz w:val="22"/>
        </w:rPr>
        <w:t xml:space="preserve"> When employees find out a business is being sold, the first thing many of them do is start looking for other jobs. Key people may leave before you even close. Morale drops. Productivity suffers. By the time you take over, your team may already be halfway out the door.</w:t>
      </w:r>
    </w:p>
    <w:p>
      <w:pPr>
        <w:pStyle w:val="ListBullet"/>
        <w:spacing w:after="60"/>
        <w:ind w:left="432"/>
      </w:pPr>
      <w:r>
        <w:rPr>
          <w:rFonts w:ascii="Calibri" w:hAnsi="Calibri"/>
          <w:b/>
          <w:i w:val="0"/>
          <w:sz w:val="22"/>
        </w:rPr>
        <w:t>Severity:</w:t>
      </w:r>
      <w:r>
        <w:rPr>
          <w:rFonts w:ascii="Calibri" w:hAnsi="Calibri"/>
          <w:b w:val="0"/>
          <w:i w:val="0"/>
          <w:sz w:val="22"/>
        </w:rPr>
        <w:t xml:space="preserve"> Yellow flag. Not a deal killer on its own, but it changes the timeline pressure and requires immediate retention planning.</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assess employee awareness during the operational DD phase. If employees know, we build retention strategies into the deal structure, including retention bonuses or employment agreements.</w:t>
      </w:r>
    </w:p>
    <w:p>
      <w:pPr>
        <w:keepNext/>
        <w:spacing w:before="200" w:after="80"/>
      </w:pPr>
      <w:r>
        <w:rPr>
          <w:rFonts w:ascii="Calibri" w:hAnsi="Calibri"/>
          <w:b/>
          <w:i w:val="0"/>
          <w:color w:val="0B2E5C"/>
          <w:sz w:val="28"/>
          <w:u w:val="none"/>
        </w:rPr>
        <w:t>Market Red Flags</w:t>
      </w:r>
    </w:p>
    <w:p>
      <w:pPr>
        <w:spacing w:after="120"/>
      </w:pPr>
      <w:r>
        <w:rPr>
          <w:rFonts w:ascii="Calibri" w:hAnsi="Calibri"/>
          <w:b/>
          <w:i w:val="0"/>
          <w:sz w:val="22"/>
          <w:u w:val="none"/>
        </w:rPr>
        <w:t>Declining Industry</w:t>
      </w:r>
    </w:p>
    <w:p>
      <w:pPr>
        <w:pStyle w:val="ListBullet"/>
        <w:spacing w:after="60"/>
        <w:ind w:left="432"/>
      </w:pPr>
      <w:r>
        <w:rPr>
          <w:rFonts w:ascii="Calibri" w:hAnsi="Calibri"/>
          <w:b/>
          <w:i w:val="0"/>
          <w:sz w:val="22"/>
        </w:rPr>
        <w:t>What it is:</w:t>
      </w:r>
      <w:r>
        <w:rPr>
          <w:rFonts w:ascii="Calibri" w:hAnsi="Calibri"/>
          <w:b w:val="0"/>
          <w:i w:val="0"/>
          <w:sz w:val="22"/>
        </w:rPr>
        <w:t xml:space="preserve"> The industry the business operates in is facing structural decline due to technology disruption, regulatory changes, or shifting consumer behavior.</w:t>
      </w:r>
    </w:p>
    <w:p>
      <w:pPr>
        <w:pStyle w:val="ListBullet"/>
        <w:spacing w:after="60"/>
        <w:ind w:left="432"/>
      </w:pPr>
      <w:r>
        <w:rPr>
          <w:rFonts w:ascii="Calibri" w:hAnsi="Calibri"/>
          <w:b/>
          <w:i w:val="0"/>
          <w:sz w:val="22"/>
        </w:rPr>
        <w:t>Why it matters:</w:t>
      </w:r>
      <w:r>
        <w:rPr>
          <w:rFonts w:ascii="Calibri" w:hAnsi="Calibri"/>
          <w:b w:val="0"/>
          <w:i w:val="0"/>
          <w:sz w:val="22"/>
        </w:rPr>
        <w:t xml:space="preserve"> You can be the best operator in a dying industry and still lose. If the market is shrinking, your business will shrink with it regardless of how well you run it.</w:t>
      </w:r>
    </w:p>
    <w:p>
      <w:pPr>
        <w:pStyle w:val="ListBullet"/>
        <w:spacing w:after="60"/>
        <w:ind w:left="432"/>
      </w:pPr>
      <w:r>
        <w:rPr>
          <w:rFonts w:ascii="Calibri" w:hAnsi="Calibri"/>
          <w:b/>
          <w:i w:val="0"/>
          <w:sz w:val="22"/>
        </w:rPr>
        <w:t>Severity:</w:t>
      </w:r>
      <w:r>
        <w:rPr>
          <w:rFonts w:ascii="Calibri" w:hAnsi="Calibri"/>
          <w:b w:val="0"/>
          <w:i w:val="0"/>
          <w:sz w:val="22"/>
        </w:rPr>
        <w:t xml:space="preserve"> Red flag for industries with clear 5-year disruption timelines (digital marketing agencies, resume services, certain tech services). Walk-away for industries with no viable pivot.</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assess industry trajectory on every deal. We specifically avoid businesses vulnerable to AI disruption unless the multiple is extremely cheap and the payback period is short.</w:t>
      </w:r>
    </w:p>
    <w:p>
      <w:pPr>
        <w:spacing w:after="120"/>
      </w:pPr>
      <w:r>
        <w:rPr>
          <w:rFonts w:ascii="Calibri" w:hAnsi="Calibri"/>
          <w:b/>
          <w:i w:val="0"/>
          <w:sz w:val="22"/>
          <w:u w:val="none"/>
        </w:rPr>
        <w:t>New Competition Entering the Market</w:t>
      </w:r>
    </w:p>
    <w:p>
      <w:pPr>
        <w:pStyle w:val="ListBullet"/>
        <w:spacing w:after="60"/>
        <w:ind w:left="432"/>
      </w:pPr>
      <w:r>
        <w:rPr>
          <w:rFonts w:ascii="Calibri" w:hAnsi="Calibri"/>
          <w:b/>
          <w:i w:val="0"/>
          <w:sz w:val="22"/>
        </w:rPr>
        <w:t>What it is:</w:t>
      </w:r>
      <w:r>
        <w:rPr>
          <w:rFonts w:ascii="Calibri" w:hAnsi="Calibri"/>
          <w:b w:val="0"/>
          <w:i w:val="0"/>
          <w:sz w:val="22"/>
        </w:rPr>
        <w:t xml:space="preserve"> New competitors have recently entered the business's market, including private equity roll-ups, franchise expansions, or well-funded startups.</w:t>
      </w:r>
    </w:p>
    <w:p>
      <w:pPr>
        <w:pStyle w:val="ListBullet"/>
        <w:spacing w:after="60"/>
        <w:ind w:left="432"/>
      </w:pPr>
      <w:r>
        <w:rPr>
          <w:rFonts w:ascii="Calibri" w:hAnsi="Calibri"/>
          <w:b/>
          <w:i w:val="0"/>
          <w:sz w:val="22"/>
        </w:rPr>
        <w:t>Why it matters:</w:t>
      </w:r>
      <w:r>
        <w:rPr>
          <w:rFonts w:ascii="Calibri" w:hAnsi="Calibri"/>
          <w:b w:val="0"/>
          <w:i w:val="0"/>
          <w:sz w:val="22"/>
        </w:rPr>
        <w:t xml:space="preserve"> Increased competition compresses margins, increases customer acquisition costs, and can erode market share quickly. If a PE firm is rolling up the industry, they will outspend and outprice you.</w:t>
      </w:r>
    </w:p>
    <w:p>
      <w:pPr>
        <w:pStyle w:val="ListBullet"/>
        <w:spacing w:after="60"/>
        <w:ind w:left="432"/>
      </w:pPr>
      <w:r>
        <w:rPr>
          <w:rFonts w:ascii="Calibri" w:hAnsi="Calibri"/>
          <w:b/>
          <w:i w:val="0"/>
          <w:sz w:val="22"/>
        </w:rPr>
        <w:t>Severity:</w:t>
      </w:r>
      <w:r>
        <w:rPr>
          <w:rFonts w:ascii="Calibri" w:hAnsi="Calibri"/>
          <w:b w:val="0"/>
          <w:i w:val="0"/>
          <w:sz w:val="22"/>
        </w:rPr>
        <w:t xml:space="preserve"> Yellow flag. Competition alone is not a deal killer, but the competitive response strategy needs to be clear.</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research the competitive landscape during the Internal phase. We assess whether the business has a defensible position (long customer relationships, service agreements, local reputation) or is vulnerable.</w:t>
      </w:r>
    </w:p>
    <w:p>
      <w:pPr>
        <w:spacing w:after="120"/>
      </w:pPr>
      <w:r>
        <w:rPr>
          <w:rFonts w:ascii="Calibri" w:hAnsi="Calibri"/>
          <w:b/>
          <w:i w:val="0"/>
          <w:sz w:val="22"/>
          <w:u w:val="none"/>
        </w:rPr>
        <w:t>Regulatory Changes</w:t>
      </w:r>
    </w:p>
    <w:p>
      <w:pPr>
        <w:pStyle w:val="ListBullet"/>
        <w:spacing w:after="60"/>
        <w:ind w:left="432"/>
      </w:pPr>
      <w:r>
        <w:rPr>
          <w:rFonts w:ascii="Calibri" w:hAnsi="Calibri"/>
          <w:b/>
          <w:i w:val="0"/>
          <w:sz w:val="22"/>
        </w:rPr>
        <w:t>What it is:</w:t>
      </w:r>
      <w:r>
        <w:rPr>
          <w:rFonts w:ascii="Calibri" w:hAnsi="Calibri"/>
          <w:b w:val="0"/>
          <w:i w:val="0"/>
          <w:sz w:val="22"/>
        </w:rPr>
        <w:t xml:space="preserve"> Pending or recent regulatory changes that could increase costs, restrict operations, or fundamentally change how the business operates.</w:t>
      </w:r>
    </w:p>
    <w:p>
      <w:pPr>
        <w:pStyle w:val="ListBullet"/>
        <w:spacing w:after="60"/>
        <w:ind w:left="432"/>
      </w:pPr>
      <w:r>
        <w:rPr>
          <w:rFonts w:ascii="Calibri" w:hAnsi="Calibri"/>
          <w:b/>
          <w:i w:val="0"/>
          <w:sz w:val="22"/>
        </w:rPr>
        <w:t>Why it matters:</w:t>
      </w:r>
      <w:r>
        <w:rPr>
          <w:rFonts w:ascii="Calibri" w:hAnsi="Calibri"/>
          <w:b w:val="0"/>
          <w:i w:val="0"/>
          <w:sz w:val="22"/>
        </w:rPr>
        <w:t xml:space="preserve"> Regulatory changes can create overnight cost increases or operational restrictions. A new licensing requirement, environmental regulation, or industry standard can make a profitable business unprofitable.</w:t>
      </w:r>
    </w:p>
    <w:p>
      <w:pPr>
        <w:pStyle w:val="ListBullet"/>
        <w:spacing w:after="60"/>
        <w:ind w:left="432"/>
      </w:pPr>
      <w:r>
        <w:rPr>
          <w:rFonts w:ascii="Calibri" w:hAnsi="Calibri"/>
          <w:b/>
          <w:i w:val="0"/>
          <w:sz w:val="22"/>
        </w:rPr>
        <w:t>Severity:</w:t>
      </w:r>
      <w:r>
        <w:rPr>
          <w:rFonts w:ascii="Calibri" w:hAnsi="Calibri"/>
          <w:b w:val="0"/>
          <w:i w:val="0"/>
          <w:sz w:val="22"/>
        </w:rPr>
        <w:t xml:space="preserve"> Yellow flag if manageable. Red flag if the compliance cost is material and not factored into the valuation.</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research the regulatory environment for every industry we evaluate. We factor compliance costs into our cash flow projections.</w:t>
      </w:r>
    </w:p>
    <w:p>
      <w:pPr>
        <w:keepNext/>
        <w:spacing w:before="200" w:after="80"/>
      </w:pPr>
      <w:r>
        <w:rPr>
          <w:rFonts w:ascii="Calibri" w:hAnsi="Calibri"/>
          <w:b/>
          <w:i w:val="0"/>
          <w:color w:val="0B2E5C"/>
          <w:sz w:val="28"/>
          <w:u w:val="none"/>
        </w:rPr>
        <w:t>Walk-Away Triggers for the Internal Phase</w:t>
      </w:r>
    </w:p>
    <w:p>
      <w:pPr>
        <w:spacing w:after="120"/>
      </w:pPr>
      <w:r>
        <w:rPr>
          <w:rFonts w:ascii="Calibri" w:hAnsi="Calibri"/>
          <w:b w:val="0"/>
          <w:i w:val="0"/>
          <w:sz w:val="22"/>
          <w:u w:val="none"/>
        </w:rPr>
        <w:t>You should walk away from a deal in the Internal phase if any of the following are true:</w:t>
      </w:r>
    </w:p>
    <w:p>
      <w:pPr>
        <w:pStyle w:val="ListBullet"/>
        <w:spacing w:after="60"/>
        <w:ind w:left="432"/>
      </w:pPr>
      <w:r>
        <w:rPr>
          <w:rFonts w:ascii="Calibri" w:hAnsi="Calibri"/>
          <w:b/>
          <w:i w:val="0"/>
          <w:sz w:val="22"/>
        </w:rPr>
        <w:t>Listed SDE is below 2x the partner's target take-home cash flow.</w:t>
      </w:r>
      <w:r>
        <w:rPr>
          <w:rFonts w:ascii="Calibri" w:hAnsi="Calibri"/>
          <w:b w:val="0"/>
          <w:i w:val="0"/>
          <w:sz w:val="22"/>
        </w:rPr>
        <w:t xml:space="preserve"> The math will not survive contact with reality.</w:t>
      </w:r>
    </w:p>
    <w:p>
      <w:pPr>
        <w:pStyle w:val="ListBullet"/>
        <w:spacing w:after="60"/>
        <w:ind w:left="432"/>
      </w:pPr>
      <w:r>
        <w:rPr>
          <w:rFonts w:ascii="Calibri" w:hAnsi="Calibri"/>
          <w:b/>
          <w:i w:val="0"/>
          <w:sz w:val="22"/>
        </w:rPr>
        <w:t>Multiple is above 5x and the deal is not a passive/absentee business.</w:t>
      </w:r>
      <w:r>
        <w:rPr>
          <w:rFonts w:ascii="Calibri" w:hAnsi="Calibri"/>
          <w:b w:val="0"/>
          <w:i w:val="0"/>
          <w:sz w:val="22"/>
        </w:rPr>
        <w:t xml:space="preserve"> It will not pencil under SBA financing.</w:t>
      </w:r>
    </w:p>
    <w:p>
      <w:pPr>
        <w:pStyle w:val="ListBullet"/>
        <w:spacing w:after="60"/>
        <w:ind w:left="432"/>
      </w:pPr>
      <w:r>
        <w:rPr>
          <w:rFonts w:ascii="Calibri" w:hAnsi="Calibri"/>
          <w:b/>
          <w:i w:val="0"/>
          <w:sz w:val="22"/>
        </w:rPr>
        <w:t>The deal is in an excluded industry</w:t>
      </w:r>
      <w:r>
        <w:rPr>
          <w:rFonts w:ascii="Calibri" w:hAnsi="Calibri"/>
          <w:b w:val="0"/>
          <w:i w:val="0"/>
          <w:sz w:val="22"/>
        </w:rPr>
        <w:t xml:space="preserve"> (restaurants, bars, retail, insurance, accounting, gas stations, eCommerce without specific override, anything not US-based, any SBA-prohibited industry, anything requiring a professional license to own).</w:t>
      </w:r>
    </w:p>
    <w:p>
      <w:pPr>
        <w:pStyle w:val="ListBullet"/>
        <w:spacing w:after="60"/>
        <w:ind w:left="432"/>
      </w:pPr>
      <w:r>
        <w:rPr>
          <w:rFonts w:ascii="Calibri" w:hAnsi="Calibri"/>
          <w:b/>
          <w:i w:val="0"/>
          <w:sz w:val="22"/>
        </w:rPr>
        <w:t>The buyer cannot legally or operationally own the business from where they live</w:t>
      </w:r>
      <w:r>
        <w:rPr>
          <w:rFonts w:ascii="Calibri" w:hAnsi="Calibri"/>
          <w:b w:val="0"/>
          <w:i w:val="0"/>
          <w:sz w:val="22"/>
        </w:rPr>
        <w:t xml:space="preserve"> (physical operation outside driving distance).</w:t>
      </w:r>
    </w:p>
    <w:p>
      <w:pPr>
        <w:pStyle w:val="ListBullet"/>
        <w:spacing w:after="60"/>
        <w:ind w:left="432"/>
      </w:pPr>
      <w:r>
        <w:rPr>
          <w:rFonts w:ascii="Calibri" w:hAnsi="Calibri"/>
          <w:b/>
          <w:i w:val="0"/>
          <w:sz w:val="22"/>
        </w:rPr>
        <w:t>The asking price is outside the partner's pre-qual + 20% band.</w:t>
      </w:r>
    </w:p>
    <w:p>
      <w:pPr>
        <w:pStyle w:val="ListBullet"/>
        <w:spacing w:after="60"/>
        <w:ind w:left="432"/>
      </w:pPr>
      <w:r>
        <w:rPr>
          <w:rFonts w:ascii="Calibri" w:hAnsi="Calibri"/>
          <w:b/>
          <w:i w:val="0"/>
          <w:sz w:val="22"/>
        </w:rPr>
        <w:t>The broker is on the avoid list or is requesting a buy-side fee.</w:t>
      </w:r>
    </w:p>
    <w:p>
      <w:pPr>
        <w:pStyle w:val="ListBullet"/>
        <w:spacing w:after="60"/>
        <w:ind w:left="432"/>
      </w:pPr>
      <w:r>
        <w:rPr>
          <w:rFonts w:ascii="Calibri" w:hAnsi="Calibri"/>
          <w:b/>
          <w:i w:val="0"/>
          <w:sz w:val="22"/>
        </w:rPr>
        <w:t>Seller refuses to provide tax returns or bank statements.</w:t>
      </w:r>
      <w:r>
        <w:rPr>
          <w:rFonts w:ascii="Calibri" w:hAnsi="Calibri"/>
          <w:b w:val="0"/>
          <w:i w:val="0"/>
          <w:sz w:val="22"/>
        </w:rPr>
        <w:t xml:space="preserve"> If they will not show you the books, there is nothing to buy.</w:t>
      </w:r>
    </w:p>
    <w:p>
      <w:pPr>
        <w:pStyle w:val="ListBullet"/>
        <w:spacing w:after="60"/>
        <w:ind w:left="432"/>
      </w:pPr>
      <w:r>
        <w:rPr>
          <w:rFonts w:ascii="Calibri" w:hAnsi="Calibri"/>
          <w:b/>
          <w:i w:val="0"/>
          <w:sz w:val="22"/>
        </w:rPr>
        <w:t>The current year shows negative cash flow.</w:t>
      </w:r>
      <w:r>
        <w:rPr>
          <w:rFonts w:ascii="Calibri" w:hAnsi="Calibri"/>
          <w:b w:val="0"/>
          <w:i w:val="0"/>
          <w:sz w:val="22"/>
        </w:rPr>
        <w:t xml:space="preserve"> Dead deal under SBA rules. Do not counter.</w:t>
      </w:r>
    </w:p>
    <w:p>
      <w:pPr>
        <w:pStyle w:val="ListBullet"/>
        <w:spacing w:after="60"/>
        <w:ind w:left="432"/>
      </w:pPr>
      <w:r>
        <w:rPr>
          <w:rFonts w:ascii="Calibri" w:hAnsi="Calibri"/>
          <w:b/>
          <w:i w:val="0"/>
          <w:sz w:val="22"/>
        </w:rPr>
        <w:t>Revenue has declined 15%+ per year for two or more consecutive years</w:t>
      </w:r>
      <w:r>
        <w:rPr>
          <w:rFonts w:ascii="Calibri" w:hAnsi="Calibri"/>
          <w:b w:val="0"/>
          <w:i w:val="0"/>
          <w:sz w:val="22"/>
        </w:rPr>
        <w:t xml:space="preserve"> with no credible turnaround plan in place.</w:t>
      </w:r>
    </w:p>
    <w:p>
      <w:pPr>
        <w:pStyle w:val="ListBullet"/>
        <w:spacing w:after="60"/>
        <w:ind w:left="432"/>
      </w:pPr>
      <w:r>
        <w:rPr>
          <w:rFonts w:ascii="Calibri" w:hAnsi="Calibri"/>
          <w:b/>
          <w:i w:val="0"/>
          <w:sz w:val="22"/>
        </w:rPr>
        <w:t>The business has negative EBITDA after debt service.</w:t>
      </w:r>
      <w:r>
        <w:rPr>
          <w:rFonts w:ascii="Calibri" w:hAnsi="Calibri"/>
          <w:b w:val="0"/>
          <w:i w:val="0"/>
          <w:sz w:val="22"/>
        </w:rPr>
        <w:t xml:space="preserve"> When you have the ability to buy a cash-flowing business with SBA financing, there is no reason to buy a money-losing one.</w:t>
      </w:r>
    </w:p>
    <w:p>
      <w:pPr>
        <w:pStyle w:val="ListBullet"/>
        <w:spacing w:after="60"/>
        <w:ind w:left="432"/>
      </w:pPr>
      <w:r>
        <w:rPr>
          <w:rFonts w:ascii="Calibri" w:hAnsi="Calibri"/>
          <w:b/>
          <w:i w:val="0"/>
          <w:sz w:val="22"/>
        </w:rPr>
        <w:t>Missing years in financial records.</w:t>
      </w:r>
      <w:r>
        <w:rPr>
          <w:rFonts w:ascii="Calibri" w:hAnsi="Calibri"/>
          <w:b w:val="0"/>
          <w:i w:val="0"/>
          <w:sz w:val="22"/>
        </w:rPr>
        <w:t xml:space="preserve"> If a year is unaccounted for, that is a flag. Why is it missing?</w:t>
      </w:r>
    </w:p>
    <w:p>
      <w:pPr>
        <w:pStyle w:val="ListBullet"/>
        <w:spacing w:after="60"/>
        <w:ind w:left="432"/>
      </w:pPr>
      <w:r>
        <w:rPr>
          <w:rFonts w:ascii="Calibri" w:hAnsi="Calibri"/>
          <w:b/>
          <w:i w:val="0"/>
          <w:sz w:val="22"/>
        </w:rPr>
        <w:t>Revenue discrepancies between different documents.</w:t>
      </w:r>
      <w:r>
        <w:rPr>
          <w:rFonts w:ascii="Calibri" w:hAnsi="Calibri"/>
          <w:b w:val="0"/>
          <w:i w:val="0"/>
          <w:sz w:val="22"/>
        </w:rPr>
        <w:t xml:space="preserve"> If the tax return says $1.2M and the P&amp;L says $1.5M, someone is lying.</w:t>
      </w:r>
    </w:p>
    <w:p>
      <w:pPr>
        <w:pStyle w:val="ListBullet"/>
        <w:spacing w:after="60"/>
        <w:ind w:left="432"/>
      </w:pPr>
      <w:r>
        <w:rPr>
          <w:rFonts w:ascii="Calibri" w:hAnsi="Calibri"/>
          <w:b/>
          <w:i w:val="0"/>
          <w:sz w:val="22"/>
        </w:rPr>
        <w:t>P&amp;Ls and tax returns are on different accounting bases</w:t>
      </w:r>
      <w:r>
        <w:rPr>
          <w:rFonts w:ascii="Calibri" w:hAnsi="Calibri"/>
          <w:b w:val="0"/>
          <w:i w:val="0"/>
          <w:sz w:val="22"/>
        </w:rPr>
        <w:t xml:space="preserve"> and the seller will not produce matching-basis financials.</w:t>
      </w:r>
    </w:p>
    <w:p>
      <w:pPr>
        <w:pStyle w:val="ListBullet"/>
        <w:spacing w:after="60"/>
        <w:ind w:left="432"/>
      </w:pPr>
      <w:r>
        <w:rPr>
          <w:rFonts w:ascii="Calibri" w:hAnsi="Calibri"/>
          <w:b/>
          <w:i w:val="0"/>
          <w:sz w:val="22"/>
        </w:rPr>
        <w:t>DSCR below 1.5x with no path to restructure.</w:t>
      </w:r>
      <w:r>
        <w:rPr>
          <w:rFonts w:ascii="Calibri" w:hAnsi="Calibri"/>
          <w:b w:val="0"/>
          <w:i w:val="0"/>
          <w:sz w:val="22"/>
        </w:rPr>
        <w:t xml:space="preserve"> If the math does not work, the deal does not work. We target 2x DSCR. Our floor is 1.5x. We will never do a deal at 1.25x.</w:t>
      </w:r>
    </w:p>
    <w:p>
      <w:pPr>
        <w:pStyle w:val="ListBullet"/>
        <w:spacing w:after="60"/>
        <w:ind w:left="432"/>
      </w:pPr>
      <w:r>
        <w:rPr>
          <w:rFonts w:ascii="Calibri" w:hAnsi="Calibri"/>
          <w:b/>
          <w:i w:val="0"/>
          <w:sz w:val="22"/>
        </w:rPr>
        <w:t>The seller has been caught lying about anything.</w:t>
      </w:r>
      <w:r>
        <w:rPr>
          <w:rFonts w:ascii="Calibri" w:hAnsi="Calibri"/>
          <w:b w:val="0"/>
          <w:i w:val="0"/>
          <w:sz w:val="22"/>
        </w:rPr>
        <w:t xml:space="preserve"> If they misrepresented one thing, assume they misrepresented more. Full stop.</w:t>
      </w:r>
    </w:p>
    <w:p>
      <w:pPr>
        <w:pStyle w:val="ListBullet"/>
        <w:spacing w:after="60"/>
        <w:ind w:left="432"/>
      </w:pPr>
      <w:r>
        <w:rPr>
          <w:rFonts w:ascii="Calibri" w:hAnsi="Calibri"/>
          <w:b/>
          <w:i w:val="0"/>
          <w:sz w:val="22"/>
        </w:rPr>
        <w:t>Key employees say they will leave post-sale.</w:t>
      </w:r>
      <w:r>
        <w:rPr>
          <w:rFonts w:ascii="Calibri" w:hAnsi="Calibri"/>
          <w:b w:val="0"/>
          <w:i w:val="0"/>
          <w:sz w:val="22"/>
        </w:rPr>
        <w:t xml:space="preserve"> If the people who run the business tell you they are not staying, the business you are buying does not exist in its current form.</w:t>
      </w:r>
    </w:p>
    <w:p>
      <w:pPr>
        <w:pStyle w:val="ListBullet"/>
        <w:spacing w:after="60"/>
        <w:ind w:left="432"/>
      </w:pPr>
      <w:r>
        <w:rPr>
          <w:rFonts w:ascii="Calibri" w:hAnsi="Calibri"/>
          <w:b/>
          <w:i w:val="0"/>
          <w:sz w:val="22"/>
        </w:rPr>
        <w:t>The seller refuses to cooperate with due diligence.</w:t>
      </w:r>
      <w:r>
        <w:rPr>
          <w:rFonts w:ascii="Calibri" w:hAnsi="Calibri"/>
          <w:b w:val="0"/>
          <w:i w:val="0"/>
          <w:sz w:val="22"/>
        </w:rPr>
        <w:t xml:space="preserve"> Delays, excuses, and document withholding are not negotiation tactics. They are red flags.</w:t>
      </w:r>
    </w:p>
    <w:p>
      <w:pPr>
        <w:pStyle w:val="ListBullet"/>
        <w:spacing w:after="60"/>
        <w:ind w:left="432"/>
      </w:pPr>
      <w:r>
        <w:rPr>
          <w:rFonts w:ascii="Calibri" w:hAnsi="Calibri"/>
          <w:b/>
          <w:i w:val="0"/>
          <w:sz w:val="22"/>
        </w:rPr>
        <w:t>The operation does not match the financials.</w:t>
      </w:r>
      <w:r>
        <w:rPr>
          <w:rFonts w:ascii="Calibri" w:hAnsi="Calibri"/>
          <w:b w:val="0"/>
          <w:i w:val="0"/>
          <w:sz w:val="22"/>
        </w:rPr>
        <w:t xml:space="preserve"> If the business claims $2M in revenue but the facility, team size, and equipment suggest a $1M operation, the numbers are not real.</w:t>
      </w:r>
    </w:p>
    <w:p>
      <w:pPr>
        <w:pStyle w:val="ListBullet"/>
        <w:spacing w:after="60"/>
        <w:ind w:left="432"/>
      </w:pPr>
      <w:r>
        <w:rPr>
          <w:rFonts w:ascii="Calibri" w:hAnsi="Calibri"/>
          <w:b/>
          <w:i w:val="0"/>
          <w:sz w:val="22"/>
        </w:rPr>
        <w:t>The seller's story has changed materially.</w:t>
      </w:r>
      <w:r>
        <w:rPr>
          <w:rFonts w:ascii="Calibri" w:hAnsi="Calibri"/>
          <w:b w:val="0"/>
          <w:i w:val="0"/>
          <w:sz w:val="22"/>
        </w:rPr>
        <w:t xml:space="preserve"> Inconsistency in the narrative means inconsistency in the numbers.</w:t>
      </w:r>
    </w:p>
    <w:p>
      <w:pPr>
        <w:pStyle w:val="ListBullet"/>
        <w:spacing w:after="60"/>
        <w:ind w:left="432"/>
      </w:pPr>
      <w:r>
        <w:rPr>
          <w:rFonts w:ascii="Calibri" w:hAnsi="Calibri"/>
          <w:b/>
          <w:i w:val="0"/>
          <w:sz w:val="22"/>
        </w:rPr>
        <w:t>Customer concentration above 60%</w:t>
      </w:r>
      <w:r>
        <w:rPr>
          <w:rFonts w:ascii="Calibri" w:hAnsi="Calibri"/>
          <w:b w:val="0"/>
          <w:i w:val="0"/>
          <w:sz w:val="22"/>
        </w:rPr>
        <w:t xml:space="preserve"> regardless of any other factor.</w:t>
      </w:r>
    </w:p>
    <w:p>
      <w:pPr>
        <w:pBdr>
          <w:bottom w:val="single" w:sz="6" w:space="1" w:color="C8C8C8"/>
        </w:pBdr>
        <w:spacing w:before="120" w:after="200"/>
      </w:pPr>
    </w:p>
    <w:p>
      <w:pPr>
        <w:keepNext/>
        <w:spacing w:before="280" w:after="80"/>
      </w:pPr>
      <w:r>
        <w:rPr>
          <w:rFonts w:ascii="Calibri" w:hAnsi="Calibri"/>
          <w:b/>
          <w:i w:val="0"/>
          <w:color w:val="0B2E5C"/>
          <w:sz w:val="36"/>
          <w:u w:val="none"/>
        </w:rPr>
        <w:t>Phase 2: External Due Diligence (Proof of Cash, Legal)</w:t>
      </w:r>
    </w:p>
    <w:p>
      <w:pPr>
        <w:spacing w:after="120"/>
      </w:pPr>
      <w:r>
        <w:rPr>
          <w:rFonts w:ascii="Calibri" w:hAnsi="Calibri"/>
          <w:b w:val="0"/>
          <w:i w:val="0"/>
          <w:sz w:val="22"/>
          <w:u w:val="none"/>
        </w:rPr>
        <w:t>If the Internal phase passes, now is when real money gets spent, and we keep that spend tightly controlled. Proof of Cash ($5K-$7K) is the primary external check on every deal. Legal review ($5K retainer, $15K-$25K flat at close). Quality of Earnings is optional, used only when a specific deal warrants it. You only reach this phase because the deal has already survived the Internal filter.</w:t>
      </w:r>
    </w:p>
    <w:p>
      <w:pPr>
        <w:keepNext/>
        <w:spacing w:before="200" w:after="80"/>
      </w:pPr>
      <w:r>
        <w:rPr>
          <w:rFonts w:ascii="Calibri" w:hAnsi="Calibri"/>
          <w:b/>
          <w:i w:val="0"/>
          <w:color w:val="0B2E5C"/>
          <w:sz w:val="28"/>
          <w:u w:val="none"/>
        </w:rPr>
        <w:t>Proof of Cash Red Flags (Primary External Check)</w:t>
      </w:r>
    </w:p>
    <w:p>
      <w:pPr>
        <w:spacing w:after="120"/>
      </w:pPr>
      <w:r>
        <w:rPr>
          <w:rFonts w:ascii="Calibri" w:hAnsi="Calibri"/>
          <w:b/>
          <w:i w:val="0"/>
          <w:sz w:val="22"/>
          <w:u w:val="none"/>
        </w:rPr>
        <w:t>Proof of Cash Failure</w:t>
      </w:r>
    </w:p>
    <w:p>
      <w:pPr>
        <w:pStyle w:val="ListBullet"/>
        <w:spacing w:after="60"/>
        <w:ind w:left="432"/>
      </w:pPr>
      <w:r>
        <w:rPr>
          <w:rFonts w:ascii="Calibri" w:hAnsi="Calibri"/>
          <w:b/>
          <w:i w:val="0"/>
          <w:sz w:val="22"/>
        </w:rPr>
        <w:t>What it is:</w:t>
      </w:r>
      <w:r>
        <w:rPr>
          <w:rFonts w:ascii="Calibri" w:hAnsi="Calibri"/>
          <w:b w:val="0"/>
          <w:i w:val="0"/>
          <w:sz w:val="22"/>
        </w:rPr>
        <w:t xml:space="preserve"> When tax returns are matched line by line, month by month against bank statements, the numbers do not tie. Cash deposits do not match reported revenue. Expenses in the books do not match outflows in the bank.</w:t>
      </w:r>
    </w:p>
    <w:p>
      <w:pPr>
        <w:pStyle w:val="ListBullet"/>
        <w:spacing w:after="60"/>
        <w:ind w:left="432"/>
      </w:pPr>
      <w:r>
        <w:rPr>
          <w:rFonts w:ascii="Calibri" w:hAnsi="Calibri"/>
          <w:b/>
          <w:i w:val="0"/>
          <w:sz w:val="22"/>
        </w:rPr>
        <w:t>Why it matters:</w:t>
      </w:r>
      <w:r>
        <w:rPr>
          <w:rFonts w:ascii="Calibri" w:hAnsi="Calibri"/>
          <w:b w:val="0"/>
          <w:i w:val="0"/>
          <w:sz w:val="22"/>
        </w:rPr>
        <w:t xml:space="preserve"> Proof of Cash is the only thing that does not lie. Tax returns can be manipulated. P&amp;Ls can be adjusted. Bank statements cannot be faked. If cash does not tie, the entire financial picture is unreliable.</w:t>
      </w:r>
    </w:p>
    <w:p>
      <w:pPr>
        <w:pStyle w:val="ListBullet"/>
        <w:spacing w:after="60"/>
        <w:ind w:left="432"/>
      </w:pPr>
      <w:r>
        <w:rPr>
          <w:rFonts w:ascii="Calibri" w:hAnsi="Calibri"/>
          <w:b/>
          <w:i w:val="0"/>
          <w:sz w:val="22"/>
        </w:rPr>
        <w:t>Severity:</w:t>
      </w:r>
      <w:r>
        <w:rPr>
          <w:rFonts w:ascii="Calibri" w:hAnsi="Calibri"/>
          <w:b w:val="0"/>
          <w:i w:val="0"/>
          <w:sz w:val="22"/>
        </w:rPr>
        <w:t xml:space="preserve"> Walk-away. More deals die at Proof of Cash than anywhere else. If it fails and the seller cannot explain the gap clearly and credibly, the deal is dead.</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run Proof of Cash on every deal that reaches the External phase. Line by line. Month by month. Revenue in the books must match deposits in the bank. No exceptions.</w:t>
      </w:r>
    </w:p>
    <w:p>
      <w:pPr>
        <w:spacing w:after="120"/>
      </w:pPr>
      <w:r>
        <w:rPr>
          <w:rFonts w:ascii="Calibri" w:hAnsi="Calibri"/>
          <w:b/>
          <w:i w:val="0"/>
          <w:sz w:val="22"/>
          <w:u w:val="none"/>
        </w:rPr>
        <w:t>Material Adjustments to Seller's Numbers</w:t>
      </w:r>
    </w:p>
    <w:p>
      <w:pPr>
        <w:pStyle w:val="ListBullet"/>
        <w:spacing w:after="60"/>
        <w:ind w:left="432"/>
      </w:pPr>
      <w:r>
        <w:rPr>
          <w:rFonts w:ascii="Calibri" w:hAnsi="Calibri"/>
          <w:b/>
          <w:i w:val="0"/>
          <w:sz w:val="22"/>
        </w:rPr>
        <w:t>What it is:</w:t>
      </w:r>
      <w:r>
        <w:rPr>
          <w:rFonts w:ascii="Calibri" w:hAnsi="Calibri"/>
          <w:b w:val="0"/>
          <w:i w:val="0"/>
          <w:sz w:val="22"/>
        </w:rPr>
        <w:t xml:space="preserve"> External verification reveals that the seller's stated cash flow is materially different from the verified cash flow. Addbacks do not hold up. Revenue recognition was aggressive. Expenses were understated.</w:t>
      </w:r>
    </w:p>
    <w:p>
      <w:pPr>
        <w:pStyle w:val="ListBullet"/>
        <w:spacing w:after="60"/>
        <w:ind w:left="432"/>
      </w:pPr>
      <w:r>
        <w:rPr>
          <w:rFonts w:ascii="Calibri" w:hAnsi="Calibri"/>
          <w:b/>
          <w:i w:val="0"/>
          <w:sz w:val="22"/>
        </w:rPr>
        <w:t>Why it matters:</w:t>
      </w:r>
      <w:r>
        <w:rPr>
          <w:rFonts w:ascii="Calibri" w:hAnsi="Calibri"/>
          <w:b w:val="0"/>
          <w:i w:val="0"/>
          <w:sz w:val="22"/>
        </w:rPr>
        <w:t xml:space="preserve"> Material adjustments mean the deal was priced on incorrect numbers. A $100K adjustment on a 3x multiple means the business was overpriced by $300K. That is not a rounding error. That is a different deal entirely.</w:t>
      </w:r>
    </w:p>
    <w:p>
      <w:pPr>
        <w:pStyle w:val="ListBullet"/>
        <w:spacing w:after="60"/>
        <w:ind w:left="432"/>
      </w:pPr>
      <w:r>
        <w:rPr>
          <w:rFonts w:ascii="Calibri" w:hAnsi="Calibri"/>
          <w:b/>
          <w:i w:val="0"/>
          <w:sz w:val="22"/>
        </w:rPr>
        <w:t>Severity:</w:t>
      </w:r>
      <w:r>
        <w:rPr>
          <w:rFonts w:ascii="Calibri" w:hAnsi="Calibri"/>
          <w:b w:val="0"/>
          <w:i w:val="0"/>
          <w:sz w:val="22"/>
        </w:rPr>
        <w:t xml:space="preserve"> Red flag. Requires renegotiation at minimum. Walk-away if the adjustments are large enough that the deal no longer works at any reasonable price.</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renegotiate based on verified numbers, not the original listing. If the seller will not adjust the price to reflect the real cash flow, we walk.</w:t>
      </w:r>
    </w:p>
    <w:p>
      <w:pPr>
        <w:keepNext/>
        <w:spacing w:before="200" w:after="80"/>
      </w:pPr>
      <w:r>
        <w:rPr>
          <w:rFonts w:ascii="Calibri" w:hAnsi="Calibri"/>
          <w:b/>
          <w:i w:val="0"/>
          <w:color w:val="0B2E5C"/>
          <w:sz w:val="28"/>
          <w:u w:val="none"/>
        </w:rPr>
        <w:t>Quality of Earnings (Optional, Deal-Dependent)</w:t>
      </w:r>
    </w:p>
    <w:p>
      <w:pPr>
        <w:spacing w:after="120"/>
      </w:pPr>
      <w:r>
        <w:rPr>
          <w:rFonts w:ascii="Calibri" w:hAnsi="Calibri"/>
          <w:b w:val="0"/>
          <w:i w:val="0"/>
          <w:sz w:val="22"/>
          <w:u w:val="none"/>
        </w:rPr>
        <w:t>Quality of Earnings is a deeper third-party financial analysis. It costs more than Proof of Cash and we do not run it on every deal. We add it when a specific deal warrants it: larger deal size, complex addbacks, multi-entity structures, or anything where Proof of Cash flagged a question that needs a CPA's eyes. Most of our partners' deals close on Proof of Cash plus legal review, with QoE used selectively.</w:t>
      </w:r>
    </w:p>
    <w:p>
      <w:pPr>
        <w:keepNext/>
        <w:spacing w:before="200" w:after="80"/>
      </w:pPr>
      <w:r>
        <w:rPr>
          <w:rFonts w:ascii="Calibri" w:hAnsi="Calibri"/>
          <w:b/>
          <w:i w:val="0"/>
          <w:color w:val="0B2E5C"/>
          <w:sz w:val="28"/>
          <w:u w:val="none"/>
        </w:rPr>
        <w:t>Legal Red Flags</w:t>
      </w:r>
    </w:p>
    <w:p>
      <w:pPr>
        <w:spacing w:after="120"/>
      </w:pPr>
      <w:r>
        <w:rPr>
          <w:rFonts w:ascii="Calibri" w:hAnsi="Calibri"/>
          <w:b/>
          <w:i w:val="0"/>
          <w:sz w:val="22"/>
          <w:u w:val="none"/>
        </w:rPr>
        <w:t>Pending or Undisclosed Litigation</w:t>
      </w:r>
    </w:p>
    <w:p>
      <w:pPr>
        <w:pStyle w:val="ListBullet"/>
        <w:spacing w:after="60"/>
        <w:ind w:left="432"/>
      </w:pPr>
      <w:r>
        <w:rPr>
          <w:rFonts w:ascii="Calibri" w:hAnsi="Calibri"/>
          <w:b/>
          <w:i w:val="0"/>
          <w:sz w:val="22"/>
        </w:rPr>
        <w:t>What it is:</w:t>
      </w:r>
      <w:r>
        <w:rPr>
          <w:rFonts w:ascii="Calibri" w:hAnsi="Calibri"/>
          <w:b w:val="0"/>
          <w:i w:val="0"/>
          <w:sz w:val="22"/>
        </w:rPr>
        <w:t xml:space="preserve"> The business is involved in active lawsuits, or litigation was not disclosed during earlier phases.</w:t>
      </w:r>
    </w:p>
    <w:p>
      <w:pPr>
        <w:pStyle w:val="ListBullet"/>
        <w:spacing w:after="60"/>
        <w:ind w:left="432"/>
      </w:pPr>
      <w:r>
        <w:rPr>
          <w:rFonts w:ascii="Calibri" w:hAnsi="Calibri"/>
          <w:b/>
          <w:i w:val="0"/>
          <w:sz w:val="22"/>
        </w:rPr>
        <w:t>Why it matters:</w:t>
      </w:r>
      <w:r>
        <w:rPr>
          <w:rFonts w:ascii="Calibri" w:hAnsi="Calibri"/>
          <w:b w:val="0"/>
          <w:i w:val="0"/>
          <w:sz w:val="22"/>
        </w:rPr>
        <w:t xml:space="preserve"> Active litigation creates liability that you may inherit. Undisclosed litigation means the seller hid material information. Even if you structure an asset purchase (which we do on 95%+ of deals), certain liabilities can follow the business.</w:t>
      </w:r>
    </w:p>
    <w:p>
      <w:pPr>
        <w:pStyle w:val="ListBullet"/>
        <w:spacing w:after="60"/>
        <w:ind w:left="432"/>
      </w:pPr>
      <w:r>
        <w:rPr>
          <w:rFonts w:ascii="Calibri" w:hAnsi="Calibri"/>
          <w:b/>
          <w:i w:val="0"/>
          <w:sz w:val="22"/>
        </w:rPr>
        <w:t>Severity:</w:t>
      </w:r>
      <w:r>
        <w:rPr>
          <w:rFonts w:ascii="Calibri" w:hAnsi="Calibri"/>
          <w:b w:val="0"/>
          <w:i w:val="0"/>
          <w:sz w:val="22"/>
        </w:rPr>
        <w:t xml:space="preserve"> Walk-away if undisclosed. Red flag if disclosed but material. Yellow flag if disclosed, minor, and properly contained.</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run legal searches as part of the External phase. Every LOI includes representations about litigation. Undisclosed litigation is a breach of those representations.</w:t>
      </w:r>
    </w:p>
    <w:p>
      <w:pPr>
        <w:spacing w:after="120"/>
      </w:pPr>
      <w:r>
        <w:rPr>
          <w:rFonts w:ascii="Calibri" w:hAnsi="Calibri"/>
          <w:b/>
          <w:i w:val="0"/>
          <w:sz w:val="22"/>
          <w:u w:val="none"/>
        </w:rPr>
        <w:t>1099 Misclassification Exposure</w:t>
      </w:r>
    </w:p>
    <w:p>
      <w:pPr>
        <w:pStyle w:val="ListBullet"/>
        <w:spacing w:after="60"/>
        <w:ind w:left="432"/>
      </w:pPr>
      <w:r>
        <w:rPr>
          <w:rFonts w:ascii="Calibri" w:hAnsi="Calibri"/>
          <w:b/>
          <w:i w:val="0"/>
          <w:sz w:val="22"/>
        </w:rPr>
        <w:t>What it is:</w:t>
      </w:r>
      <w:r>
        <w:rPr>
          <w:rFonts w:ascii="Calibri" w:hAnsi="Calibri"/>
          <w:b w:val="0"/>
          <w:i w:val="0"/>
          <w:sz w:val="22"/>
        </w:rPr>
        <w:t xml:space="preserve"> The business uses 1099 contractors for roles that look operationally like W2 employees (common in roofing, HVAC, trades). The IRS or state can reclassify, creating retroactive tax and penalty exposure.</w:t>
      </w:r>
    </w:p>
    <w:p>
      <w:pPr>
        <w:pStyle w:val="ListBullet"/>
        <w:spacing w:after="60"/>
        <w:ind w:left="432"/>
      </w:pPr>
      <w:r>
        <w:rPr>
          <w:rFonts w:ascii="Calibri" w:hAnsi="Calibri"/>
          <w:b/>
          <w:i w:val="0"/>
          <w:sz w:val="22"/>
        </w:rPr>
        <w:t>Why it matters:</w:t>
      </w:r>
      <w:r>
        <w:rPr>
          <w:rFonts w:ascii="Calibri" w:hAnsi="Calibri"/>
          <w:b w:val="0"/>
          <w:i w:val="0"/>
          <w:sz w:val="22"/>
        </w:rPr>
        <w:t xml:space="preserve"> This exposure follows the business. The fix is contractual indemnification from the seller, structured into the purchase agreement. We do NOT haircut the cash flow as if every contractor were a W2 employee, because the lender will not accept a synthetic adjustment and the seller will refuse the resulting price.</w:t>
      </w:r>
    </w:p>
    <w:p>
      <w:pPr>
        <w:pStyle w:val="ListBullet"/>
        <w:spacing w:after="60"/>
        <w:ind w:left="432"/>
      </w:pPr>
      <w:r>
        <w:rPr>
          <w:rFonts w:ascii="Calibri" w:hAnsi="Calibri"/>
          <w:b/>
          <w:i w:val="0"/>
          <w:sz w:val="22"/>
        </w:rPr>
        <w:t>Severity:</w:t>
      </w:r>
      <w:r>
        <w:rPr>
          <w:rFonts w:ascii="Calibri" w:hAnsi="Calibri"/>
          <w:b w:val="0"/>
          <w:i w:val="0"/>
          <w:sz w:val="22"/>
        </w:rPr>
        <w:t xml:space="preserve"> Red flag. Requires legal structuring before closing.</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Our legal partner (Hallam at Groundswell) drafts indemnification language to push the misclassification risk back to the seller. We do not eat the risk on the buyer side.</w:t>
      </w:r>
    </w:p>
    <w:p>
      <w:pPr>
        <w:spacing w:after="120"/>
      </w:pPr>
      <w:r>
        <w:rPr>
          <w:rFonts w:ascii="Calibri" w:hAnsi="Calibri"/>
          <w:b/>
          <w:i w:val="0"/>
          <w:sz w:val="22"/>
          <w:u w:val="none"/>
        </w:rPr>
        <w:t>IP and Licensing Issues</w:t>
      </w:r>
    </w:p>
    <w:p>
      <w:pPr>
        <w:pStyle w:val="ListBullet"/>
        <w:spacing w:after="60"/>
        <w:ind w:left="432"/>
      </w:pPr>
      <w:r>
        <w:rPr>
          <w:rFonts w:ascii="Calibri" w:hAnsi="Calibri"/>
          <w:b/>
          <w:i w:val="0"/>
          <w:sz w:val="22"/>
        </w:rPr>
        <w:t>What it is:</w:t>
      </w:r>
      <w:r>
        <w:rPr>
          <w:rFonts w:ascii="Calibri" w:hAnsi="Calibri"/>
          <w:b w:val="0"/>
          <w:i w:val="0"/>
          <w:sz w:val="22"/>
        </w:rPr>
        <w:t xml:space="preserve"> The business operates under licenses, patents, trademarks, or intellectual property that may not transfer cleanly in a sale. Or the business uses third-party IP without proper licensing.</w:t>
      </w:r>
    </w:p>
    <w:p>
      <w:pPr>
        <w:pStyle w:val="ListBullet"/>
        <w:spacing w:after="60"/>
        <w:ind w:left="432"/>
      </w:pPr>
      <w:r>
        <w:rPr>
          <w:rFonts w:ascii="Calibri" w:hAnsi="Calibri"/>
          <w:b/>
          <w:i w:val="0"/>
          <w:sz w:val="22"/>
        </w:rPr>
        <w:t>Why it matters:</w:t>
      </w:r>
      <w:r>
        <w:rPr>
          <w:rFonts w:ascii="Calibri" w:hAnsi="Calibri"/>
          <w:b w:val="0"/>
          <w:i w:val="0"/>
          <w:sz w:val="22"/>
        </w:rPr>
        <w:t xml:space="preserve"> If a key license does not transfer, you cannot operate. If a trademark is not properly registered, you may not own the brand you just paid for. IP problems can take months to resolve and can fundamentally change the value of the business.</w:t>
      </w:r>
    </w:p>
    <w:p>
      <w:pPr>
        <w:pStyle w:val="ListBullet"/>
        <w:spacing w:after="60"/>
        <w:ind w:left="432"/>
      </w:pPr>
      <w:r>
        <w:rPr>
          <w:rFonts w:ascii="Calibri" w:hAnsi="Calibri"/>
          <w:b/>
          <w:i w:val="0"/>
          <w:sz w:val="22"/>
        </w:rPr>
        <w:t>Severity:</w:t>
      </w:r>
      <w:r>
        <w:rPr>
          <w:rFonts w:ascii="Calibri" w:hAnsi="Calibri"/>
          <w:b w:val="0"/>
          <w:i w:val="0"/>
          <w:sz w:val="22"/>
        </w:rPr>
        <w:t xml:space="preserve"> Red flag. Requires legal resolution before closing. Walk-away if the IP issues are fundamental and unresolvable.</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include IP transfer and license assignment as standard components of the purchase agreement. Our legal team reviews all licenses, trademarks, and contracts for transferability.</w:t>
      </w:r>
    </w:p>
    <w:p>
      <w:pPr>
        <w:spacing w:after="120"/>
      </w:pPr>
      <w:r>
        <w:rPr>
          <w:rFonts w:ascii="Calibri" w:hAnsi="Calibri"/>
          <w:b/>
          <w:i w:val="0"/>
          <w:sz w:val="22"/>
          <w:u w:val="none"/>
        </w:rPr>
        <w:t>Contract Assignment Problems</w:t>
      </w:r>
    </w:p>
    <w:p>
      <w:pPr>
        <w:pStyle w:val="ListBullet"/>
        <w:spacing w:after="60"/>
        <w:ind w:left="432"/>
      </w:pPr>
      <w:r>
        <w:rPr>
          <w:rFonts w:ascii="Calibri" w:hAnsi="Calibri"/>
          <w:b/>
          <w:i w:val="0"/>
          <w:sz w:val="22"/>
        </w:rPr>
        <w:t>What it is:</w:t>
      </w:r>
      <w:r>
        <w:rPr>
          <w:rFonts w:ascii="Calibri" w:hAnsi="Calibri"/>
          <w:b w:val="0"/>
          <w:i w:val="0"/>
          <w:sz w:val="22"/>
        </w:rPr>
        <w:t xml:space="preserve"> Key contracts (customer agreements, vendor agreements, leases, licensing agreements) contain change-of-control provisions that require consent for assignment or that terminate automatically upon sale.</w:t>
      </w:r>
    </w:p>
    <w:p>
      <w:pPr>
        <w:pStyle w:val="ListBullet"/>
        <w:spacing w:after="60"/>
        <w:ind w:left="432"/>
      </w:pPr>
      <w:r>
        <w:rPr>
          <w:rFonts w:ascii="Calibri" w:hAnsi="Calibri"/>
          <w:b/>
          <w:i w:val="0"/>
          <w:sz w:val="22"/>
        </w:rPr>
        <w:t>Why it matters:</w:t>
      </w:r>
      <w:r>
        <w:rPr>
          <w:rFonts w:ascii="Calibri" w:hAnsi="Calibri"/>
          <w:b w:val="0"/>
          <w:i w:val="0"/>
          <w:sz w:val="22"/>
        </w:rPr>
        <w:t xml:space="preserve"> If your three biggest customer contracts terminate on change of ownership and you cannot get those customers to re-sign, you just bought a business without its revenue. If the lease has a no-assignment clause and the landlord will not consent, you have no location.</w:t>
      </w:r>
    </w:p>
    <w:p>
      <w:pPr>
        <w:pStyle w:val="ListBullet"/>
        <w:spacing w:after="60"/>
        <w:ind w:left="432"/>
      </w:pPr>
      <w:r>
        <w:rPr>
          <w:rFonts w:ascii="Calibri" w:hAnsi="Calibri"/>
          <w:b/>
          <w:i w:val="0"/>
          <w:sz w:val="22"/>
        </w:rPr>
        <w:t>Severity:</w:t>
      </w:r>
      <w:r>
        <w:rPr>
          <w:rFonts w:ascii="Calibri" w:hAnsi="Calibri"/>
          <w:b w:val="0"/>
          <w:i w:val="0"/>
          <w:sz w:val="22"/>
        </w:rPr>
        <w:t xml:space="preserve"> Red flag. Each contract needs individual assessment. Walk-away if material contracts cannot be assigned and the affected revenue is a significant portion of the business.</w:t>
      </w:r>
    </w:p>
    <w:p>
      <w:pPr>
        <w:pStyle w:val="ListBullet"/>
        <w:spacing w:after="60"/>
        <w:ind w:left="432"/>
      </w:pPr>
      <w:r>
        <w:rPr>
          <w:rFonts w:ascii="Calibri" w:hAnsi="Calibri"/>
          <w:b/>
          <w:i w:val="0"/>
          <w:sz w:val="22"/>
        </w:rPr>
        <w:t>What Regalis Capital does:</w:t>
      </w:r>
      <w:r>
        <w:rPr>
          <w:rFonts w:ascii="Calibri" w:hAnsi="Calibri"/>
          <w:b w:val="0"/>
          <w:i w:val="0"/>
          <w:sz w:val="22"/>
        </w:rPr>
        <w:t xml:space="preserve"> We review all material contracts for assignment provisions. We include landlord consent and key contract assignment as contingencies in every LOI. We do not close until these are resolved.</w:t>
      </w:r>
    </w:p>
    <w:p>
      <w:pPr>
        <w:keepNext/>
        <w:spacing w:before="200" w:after="80"/>
      </w:pPr>
      <w:r>
        <w:rPr>
          <w:rFonts w:ascii="Calibri" w:hAnsi="Calibri"/>
          <w:b/>
          <w:i w:val="0"/>
          <w:color w:val="0B2E5C"/>
          <w:sz w:val="28"/>
          <w:u w:val="none"/>
        </w:rPr>
        <w:t>Walk-Away Triggers for the External Phase</w:t>
      </w:r>
    </w:p>
    <w:p>
      <w:pPr>
        <w:spacing w:after="120"/>
      </w:pPr>
      <w:r>
        <w:rPr>
          <w:rFonts w:ascii="Calibri" w:hAnsi="Calibri"/>
          <w:b w:val="0"/>
          <w:i w:val="0"/>
          <w:sz w:val="22"/>
          <w:u w:val="none"/>
        </w:rPr>
        <w:t>You should walk away from a deal in the External phase if any of the following are true:</w:t>
      </w:r>
    </w:p>
    <w:p>
      <w:pPr>
        <w:pStyle w:val="ListBullet"/>
        <w:spacing w:after="60"/>
        <w:ind w:left="432"/>
      </w:pPr>
      <w:r>
        <w:rPr>
          <w:rFonts w:ascii="Calibri" w:hAnsi="Calibri"/>
          <w:b/>
          <w:i w:val="0"/>
          <w:sz w:val="22"/>
        </w:rPr>
        <w:t>Proof of Cash fails and the seller cannot explain the gap.</w:t>
      </w:r>
      <w:r>
        <w:rPr>
          <w:rFonts w:ascii="Calibri" w:hAnsi="Calibri"/>
          <w:b w:val="0"/>
          <w:i w:val="0"/>
          <w:sz w:val="22"/>
        </w:rPr>
        <w:t xml:space="preserve"> If cash does not tie, the financials are fiction. Walk.</w:t>
      </w:r>
    </w:p>
    <w:p>
      <w:pPr>
        <w:pStyle w:val="ListBullet"/>
        <w:spacing w:after="60"/>
        <w:ind w:left="432"/>
      </w:pPr>
      <w:r>
        <w:rPr>
          <w:rFonts w:ascii="Calibri" w:hAnsi="Calibri"/>
          <w:b/>
          <w:i w:val="0"/>
          <w:sz w:val="22"/>
        </w:rPr>
        <w:t>Verified financials are materially below what was presented.</w:t>
      </w:r>
      <w:r>
        <w:rPr>
          <w:rFonts w:ascii="Calibri" w:hAnsi="Calibri"/>
          <w:b w:val="0"/>
          <w:i w:val="0"/>
          <w:sz w:val="22"/>
        </w:rPr>
        <w:t xml:space="preserve"> If the real cash flow is 30%+ below the listing and the seller will not reprice, there is no deal.</w:t>
      </w:r>
    </w:p>
    <w:p>
      <w:pPr>
        <w:pStyle w:val="ListBullet"/>
        <w:spacing w:after="60"/>
        <w:ind w:left="432"/>
      </w:pPr>
      <w:r>
        <w:rPr>
          <w:rFonts w:ascii="Calibri" w:hAnsi="Calibri"/>
          <w:b/>
          <w:i w:val="0"/>
          <w:sz w:val="22"/>
        </w:rPr>
        <w:t>Active or undisclosed litigation.</w:t>
      </w:r>
      <w:r>
        <w:rPr>
          <w:rFonts w:ascii="Calibri" w:hAnsi="Calibri"/>
          <w:b w:val="0"/>
          <w:i w:val="0"/>
          <w:sz w:val="22"/>
        </w:rPr>
        <w:t xml:space="preserve"> Undisclosed litigation is an automatic walk-away. Active litigation requires careful assessment of exposure.</w:t>
      </w:r>
    </w:p>
    <w:p>
      <w:pPr>
        <w:pStyle w:val="ListBullet"/>
        <w:spacing w:after="60"/>
        <w:ind w:left="432"/>
      </w:pPr>
      <w:r>
        <w:rPr>
          <w:rFonts w:ascii="Calibri" w:hAnsi="Calibri"/>
          <w:b/>
          <w:i w:val="0"/>
          <w:sz w:val="22"/>
        </w:rPr>
        <w:t>Key contracts cannot be assigned.</w:t>
      </w:r>
      <w:r>
        <w:rPr>
          <w:rFonts w:ascii="Calibri" w:hAnsi="Calibri"/>
          <w:b w:val="0"/>
          <w:i w:val="0"/>
          <w:sz w:val="22"/>
        </w:rPr>
        <w:t xml:space="preserve"> If the revenue walks when the owner walks, you are not buying a business. You are buying a shell.</w:t>
      </w:r>
    </w:p>
    <w:p>
      <w:pPr>
        <w:pStyle w:val="ListBullet"/>
        <w:spacing w:after="60"/>
        <w:ind w:left="432"/>
      </w:pPr>
      <w:r>
        <w:rPr>
          <w:rFonts w:ascii="Calibri" w:hAnsi="Calibri"/>
          <w:b/>
          <w:i w:val="0"/>
          <w:sz w:val="22"/>
        </w:rPr>
        <w:t>Landlord refuses to consent to lease assignment</w:t>
      </w:r>
      <w:r>
        <w:rPr>
          <w:rFonts w:ascii="Calibri" w:hAnsi="Calibri"/>
          <w:b w:val="0"/>
          <w:i w:val="0"/>
          <w:sz w:val="22"/>
        </w:rPr>
        <w:t xml:space="preserve"> and there is no viable relocation plan.</w:t>
      </w:r>
    </w:p>
    <w:p>
      <w:pPr>
        <w:pBdr>
          <w:bottom w:val="single" w:sz="6" w:space="1" w:color="C8C8C8"/>
        </w:pBdr>
        <w:spacing w:before="120" w:after="200"/>
      </w:pPr>
    </w:p>
    <w:p>
      <w:pPr>
        <w:keepNext/>
        <w:spacing w:before="280" w:after="80"/>
      </w:pPr>
      <w:r>
        <w:rPr>
          <w:rFonts w:ascii="Calibri" w:hAnsi="Calibri"/>
          <w:b/>
          <w:i w:val="0"/>
          <w:color w:val="0B2E5C"/>
          <w:sz w:val="36"/>
          <w:u w:val="none"/>
        </w:rPr>
        <w:t>The Severity Scale: How to Read This Checklist</w:t>
      </w:r>
    </w:p>
    <w:p>
      <w:pPr>
        <w:spacing w:after="120"/>
      </w:pPr>
      <w:r>
        <w:rPr>
          <w:rFonts w:ascii="Calibri" w:hAnsi="Calibri"/>
          <w:b/>
          <w:i w:val="0"/>
          <w:sz w:val="22"/>
          <w:u w:val="none"/>
        </w:rPr>
        <w:t>Yellow Flag:</w:t>
      </w:r>
      <w:r>
        <w:rPr>
          <w:rFonts w:ascii="Calibri" w:hAnsi="Calibri"/>
          <w:b w:val="0"/>
          <w:i w:val="0"/>
          <w:sz w:val="22"/>
          <w:u w:val="none"/>
        </w:rPr>
        <w:t xml:space="preserve"> Worth investigating. Not a deal killer on its own, but it needs a clear answer. Multiple yellow flags on the same deal can add up to a red flag.</w:t>
      </w:r>
    </w:p>
    <w:p>
      <w:pPr>
        <w:spacing w:after="120"/>
      </w:pPr>
      <w:r>
        <w:rPr>
          <w:rFonts w:ascii="Calibri" w:hAnsi="Calibri"/>
          <w:b/>
          <w:i w:val="0"/>
          <w:sz w:val="22"/>
          <w:u w:val="none"/>
        </w:rPr>
        <w:t>Red Flag:</w:t>
      </w:r>
      <w:r>
        <w:rPr>
          <w:rFonts w:ascii="Calibri" w:hAnsi="Calibri"/>
          <w:b w:val="0"/>
          <w:i w:val="0"/>
          <w:sz w:val="22"/>
          <w:u w:val="none"/>
        </w:rPr>
        <w:t xml:space="preserve"> Serious concern that requires action. Either the deal needs to be repriced, restructured, or specific conditions need to be met before proceeding. Red flags demand resolution, not hope.</w:t>
      </w:r>
    </w:p>
    <w:p>
      <w:pPr>
        <w:spacing w:after="120"/>
      </w:pPr>
      <w:r>
        <w:rPr>
          <w:rFonts w:ascii="Calibri" w:hAnsi="Calibri"/>
          <w:b/>
          <w:i w:val="0"/>
          <w:sz w:val="22"/>
          <w:u w:val="none"/>
        </w:rPr>
        <w:t>Walk-Away:</w:t>
      </w:r>
      <w:r>
        <w:rPr>
          <w:rFonts w:ascii="Calibri" w:hAnsi="Calibri"/>
          <w:b w:val="0"/>
          <w:i w:val="0"/>
          <w:sz w:val="22"/>
          <w:u w:val="none"/>
        </w:rPr>
        <w:t xml:space="preserve"> Stop. Do not negotiate further. Do not try to make it work. Kill the deal and move on to the next one. There are always more deals.</w:t>
      </w:r>
    </w:p>
    <w:p>
      <w:pPr>
        <w:pBdr>
          <w:bottom w:val="single" w:sz="6" w:space="1" w:color="C8C8C8"/>
        </w:pBdr>
        <w:spacing w:before="120" w:after="200"/>
      </w:pPr>
    </w:p>
    <w:p>
      <w:pPr>
        <w:keepNext/>
        <w:spacing w:before="280" w:after="80"/>
      </w:pPr>
      <w:r>
        <w:rPr>
          <w:rFonts w:ascii="Calibri" w:hAnsi="Calibri"/>
          <w:b/>
          <w:i w:val="0"/>
          <w:color w:val="0B2E5C"/>
          <w:sz w:val="36"/>
          <w:u w:val="none"/>
        </w:rPr>
        <w:t>The Deal You Do Not Buy Saves You More Than the Deal You Do Buy</w:t>
      </w:r>
    </w:p>
    <w:p>
      <w:pPr>
        <w:spacing w:after="120"/>
      </w:pPr>
      <w:r>
        <w:rPr>
          <w:rFonts w:ascii="Calibri" w:hAnsi="Calibri"/>
          <w:b w:val="0"/>
          <w:i w:val="0"/>
          <w:sz w:val="22"/>
          <w:u w:val="none"/>
        </w:rPr>
        <w:t>Here is the reality most buyers never hear: the discipline to walk away from a bad deal is worth more than any good deal you will ever close.</w:t>
      </w:r>
    </w:p>
    <w:p>
      <w:pPr>
        <w:spacing w:after="120"/>
      </w:pPr>
      <w:r>
        <w:rPr>
          <w:rFonts w:ascii="Calibri" w:hAnsi="Calibri"/>
          <w:b w:val="0"/>
          <w:i w:val="0"/>
          <w:sz w:val="22"/>
          <w:u w:val="none"/>
        </w:rPr>
        <w:t>There are over 170,000 businesses listed for sale every year. We source 171,000+ deals annually. Our team of 40 dedicated analysts reviews 120 to 150 of them every week. We send offers on 294. That is a 0.17% pass rate from sourcing to offer. We kill 97-98% of everything we look at. And that is not a failure rate. That is a quality filter.</w:t>
      </w:r>
    </w:p>
    <w:p>
      <w:pPr>
        <w:spacing w:after="120"/>
      </w:pPr>
      <w:r>
        <w:rPr>
          <w:rFonts w:ascii="Calibri" w:hAnsi="Calibri"/>
          <w:b w:val="0"/>
          <w:i w:val="0"/>
          <w:sz w:val="22"/>
          <w:u w:val="none"/>
        </w:rPr>
        <w:t>The first-time buyers who get hurt are not the ones who walked away from too many deals. They are the ones who fell in love with one deal, ignored the red flags, convinced themselves they could fix the problems after closing, and overpaid for something that was never worth the price.</w:t>
      </w:r>
    </w:p>
    <w:p>
      <w:pPr>
        <w:spacing w:after="120"/>
      </w:pPr>
      <w:r>
        <w:rPr>
          <w:rFonts w:ascii="Calibri" w:hAnsi="Calibri"/>
          <w:b w:val="0"/>
          <w:i w:val="0"/>
          <w:sz w:val="22"/>
          <w:u w:val="none"/>
        </w:rPr>
        <w:t>Every red flag you catch in due diligence is money saved. Every deal you walk away from is capital preserved for the right deal. Every week you wait for a better opportunity is cheaper than spending years recovering from a bad acquisition.</w:t>
      </w:r>
    </w:p>
    <w:p>
      <w:pPr>
        <w:spacing w:after="120"/>
      </w:pPr>
      <w:r>
        <w:rPr>
          <w:rFonts w:ascii="Calibri" w:hAnsi="Calibri"/>
          <w:b w:val="0"/>
          <w:i w:val="0"/>
          <w:sz w:val="22"/>
          <w:u w:val="none"/>
        </w:rPr>
        <w:t>The process works. Trust the process. And when the red flags show up, trust them too.</w:t>
      </w:r>
    </w:p>
    <w:p>
      <w:pPr>
        <w:spacing w:after="120"/>
      </w:pPr>
      <w:r>
        <w:rPr>
          <w:rFonts w:ascii="Calibri" w:hAnsi="Calibri"/>
          <w:b w:val="0"/>
          <w:i w:val="0"/>
          <w:sz w:val="22"/>
          <w:u w:val="none"/>
        </w:rPr>
        <w:t>That is what we are here for.</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